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91B" w14:textId="77777777" w:rsidR="00316E44" w:rsidRDefault="00316E44" w:rsidP="00961C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316E44" w:rsidRPr="00383283" w14:paraId="23A8E08A" w14:textId="77777777" w:rsidTr="00034CEC">
        <w:tc>
          <w:tcPr>
            <w:tcW w:w="2694" w:type="dxa"/>
            <w:shd w:val="clear" w:color="auto" w:fill="auto"/>
          </w:tcPr>
          <w:p w14:paraId="04AE98E9" w14:textId="258590DF" w:rsidR="00316E44" w:rsidRPr="00383283" w:rsidRDefault="00316E44" w:rsidP="0038225E">
            <w:pPr>
              <w:rPr>
                <w:rFonts w:ascii="Calibri" w:hAnsi="Calibri" w:cs="Calibri"/>
              </w:rPr>
            </w:pPr>
            <w:r w:rsidRPr="00383283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3CC24A71" wp14:editId="20679454">
                  <wp:simplePos x="0" y="0"/>
                  <wp:positionH relativeFrom="column">
                    <wp:posOffset>-66039</wp:posOffset>
                  </wp:positionH>
                  <wp:positionV relativeFrom="paragraph">
                    <wp:posOffset>20955</wp:posOffset>
                  </wp:positionV>
                  <wp:extent cx="1667258" cy="8382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63" cy="84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093BC822" w14:textId="070CA834" w:rsidR="00316E44" w:rsidRPr="00840000" w:rsidRDefault="00316E44" w:rsidP="00316E44">
            <w:pPr>
              <w:spacing w:after="0" w:line="240" w:lineRule="auto"/>
              <w:jc w:val="right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840000">
              <w:rPr>
                <w:rFonts w:ascii="Calibri" w:hAnsi="Calibri" w:cs="Calibri"/>
                <w:b/>
                <w:caps/>
                <w:sz w:val="40"/>
                <w:szCs w:val="40"/>
              </w:rPr>
              <w:t xml:space="preserve">Convention d’adhésion à la mission  </w:t>
            </w:r>
          </w:p>
          <w:p w14:paraId="55798163" w14:textId="4413EC16" w:rsidR="00316E44" w:rsidRDefault="00316E44" w:rsidP="00316E44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 w:rsidRPr="00840000">
              <w:rPr>
                <w:rFonts w:ascii="Calibri" w:hAnsi="Calibri" w:cs="Calibri"/>
                <w:b/>
                <w:color w:val="384B8F"/>
                <w:sz w:val="40"/>
                <w:szCs w:val="40"/>
              </w:rPr>
              <w:t>Référent déontologue des élus</w:t>
            </w:r>
            <w:r w:rsidR="00840000" w:rsidRPr="00840000">
              <w:rPr>
                <w:rFonts w:ascii="Calibri" w:hAnsi="Calibri" w:cs="Calibri"/>
                <w:b/>
                <w:color w:val="384B8F"/>
                <w:sz w:val="40"/>
                <w:szCs w:val="40"/>
              </w:rPr>
              <w:t xml:space="preserve"> locaux</w:t>
            </w:r>
            <w:r w:rsidRPr="00383283">
              <w:rPr>
                <w:rFonts w:ascii="Calibri" w:hAnsi="Calibri" w:cs="Calibri"/>
                <w:b/>
                <w:sz w:val="40"/>
                <w:szCs w:val="40"/>
              </w:rPr>
              <w:br/>
              <w:t>proposé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e</w:t>
            </w:r>
            <w:r w:rsidRPr="00383283">
              <w:rPr>
                <w:rFonts w:ascii="Calibri" w:hAnsi="Calibri" w:cs="Calibri"/>
                <w:b/>
                <w:sz w:val="40"/>
                <w:szCs w:val="40"/>
              </w:rPr>
              <w:t xml:space="preserve"> par le CDG82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</w:p>
          <w:p w14:paraId="3165A648" w14:textId="46FCD5E4" w:rsidR="00316E44" w:rsidRPr="00383283" w:rsidRDefault="00316E44" w:rsidP="0038225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B278A3">
              <w:rPr>
                <w:rFonts w:ascii="Calibri" w:hAnsi="Calibri" w:cs="Calibri"/>
                <w:b/>
              </w:rPr>
              <w:t>18.09.2023</w:t>
            </w:r>
          </w:p>
        </w:tc>
      </w:tr>
    </w:tbl>
    <w:p w14:paraId="6389C985" w14:textId="77777777" w:rsidR="00316E44" w:rsidRDefault="00316E44" w:rsidP="00316E44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p w14:paraId="2DBD6C7F" w14:textId="77777777" w:rsidR="00316E44" w:rsidRDefault="00316E44" w:rsidP="00961C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p w14:paraId="5B1C51EE" w14:textId="557698D9" w:rsidR="003F5B7E" w:rsidRPr="00B547F7" w:rsidRDefault="00961C76" w:rsidP="003F5B7E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E</w:t>
      </w:r>
      <w:r w:rsidR="009E4228"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NTRE</w:t>
      </w:r>
    </w:p>
    <w:p w14:paraId="649A33E4" w14:textId="459220ED" w:rsidR="00961C76" w:rsidRPr="00773601" w:rsidRDefault="003F5B7E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la </w:t>
      </w:r>
      <w:r w:rsidR="00316E44">
        <w:rPr>
          <w:rFonts w:ascii="Calibri" w:eastAsia="Times New Roman" w:hAnsi="Calibri" w:cs="Calibri"/>
          <w:kern w:val="0"/>
          <w:lang w:eastAsia="fr-FR"/>
          <w14:ligatures w14:val="none"/>
        </w:rPr>
        <w:t>F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onction </w:t>
      </w:r>
      <w:r w:rsidR="00316E44">
        <w:rPr>
          <w:rFonts w:ascii="Calibri" w:eastAsia="Times New Roman" w:hAnsi="Calibri" w:cs="Calibri"/>
          <w:kern w:val="0"/>
          <w:lang w:eastAsia="fr-FR"/>
          <w14:ligatures w14:val="none"/>
        </w:rPr>
        <w:t>P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ublique </w:t>
      </w:r>
      <w:r w:rsidR="00316E44">
        <w:rPr>
          <w:rFonts w:ascii="Calibri" w:eastAsia="Times New Roman" w:hAnsi="Calibri" w:cs="Calibri"/>
          <w:kern w:val="0"/>
          <w:lang w:eastAsia="fr-FR"/>
          <w14:ligatures w14:val="none"/>
        </w:rPr>
        <w:t>T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erritoriale de Tarn-et-Garonne, ci-après dénommé « 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 », représenté par son Président, Monsieur Jean-Luc DEPRINCE, agissant en sa qualité conformément à la délibération du Conseil d’</w:t>
      </w:r>
      <w:r w:rsidR="00776F2E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dministration en date du</w:t>
      </w:r>
      <w:r w:rsidR="00D535E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19/11/2020.</w:t>
      </w:r>
    </w:p>
    <w:p w14:paraId="47274A9D" w14:textId="77777777" w:rsidR="00961C76" w:rsidRPr="00773601" w:rsidRDefault="00961C76" w:rsidP="003F5B7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6E6299F" w14:textId="47CB4C12" w:rsidR="009E4228" w:rsidRPr="00B547F7" w:rsidRDefault="00961C76" w:rsidP="003F5B7E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E</w:t>
      </w:r>
      <w:r w:rsidR="009E4228"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T</w:t>
      </w:r>
    </w:p>
    <w:p w14:paraId="5BDDDD5F" w14:textId="6C1E562D" w:rsidR="00961C76" w:rsidRPr="001A6E3C" w:rsidRDefault="00961C76" w:rsidP="003F5B7E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</w:pP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……………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…………………………………………………..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………, ci-après dénommé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(e)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 xml:space="preserve"> « 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la c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ollectivité », représenté</w:t>
      </w:r>
      <w:r w:rsidR="009E4228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e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 xml:space="preserve"> par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 xml:space="preserve"> …………….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………………………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…………, M………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…………………………..………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……., agissant en cette qualité conformément à la délibération en date du</w:t>
      </w:r>
      <w:r w:rsidR="00AE5C3D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 xml:space="preserve"> 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………………..</w:t>
      </w:r>
    </w:p>
    <w:p w14:paraId="45463D2E" w14:textId="77777777" w:rsidR="00071033" w:rsidRPr="00773601" w:rsidRDefault="00071033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6E237557" w14:textId="15764B68" w:rsidR="00961C76" w:rsidRPr="00773601" w:rsidRDefault="00961C76" w:rsidP="00316E44">
      <w:pPr>
        <w:spacing w:before="60"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V</w:t>
      </w:r>
      <w:r w:rsidR="009E422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u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code général de la fonction publique, notamment ses articles L. 452-30 et L. 452-40 ;</w:t>
      </w:r>
    </w:p>
    <w:p w14:paraId="19E99FF6" w14:textId="4F8C4E72" w:rsidR="00961C76" w:rsidRPr="00773601" w:rsidRDefault="00961C76" w:rsidP="00316E44">
      <w:pPr>
        <w:spacing w:before="60"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V</w:t>
      </w:r>
      <w:r w:rsidR="009E422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u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code général des collectivités territoriales, notamment ses articles L. 1111-1-1 et R. 1111-1-A. à R. 1111-1-D ;</w:t>
      </w:r>
    </w:p>
    <w:p w14:paraId="127BC3FE" w14:textId="21EDAEC6" w:rsidR="00961C76" w:rsidRPr="00773601" w:rsidRDefault="00961C76" w:rsidP="00316E44">
      <w:pPr>
        <w:spacing w:before="60"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V</w:t>
      </w:r>
      <w:r w:rsidR="009E422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u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l’arrêté du 6 décembre 2022 pris en application du décret n° 2022-1520 du 6 décembre 2022 relatif au référent déontologue de l'élu local ;</w:t>
      </w:r>
    </w:p>
    <w:p w14:paraId="239EBAD5" w14:textId="4DE8105C" w:rsidR="00961C76" w:rsidRPr="00773601" w:rsidRDefault="00961C76" w:rsidP="00316E44">
      <w:pPr>
        <w:spacing w:before="60"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V</w:t>
      </w:r>
      <w:r w:rsidR="009E422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u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la délibération n°</w:t>
      </w:r>
      <w:r w:rsidR="00BF79EC">
        <w:rPr>
          <w:rFonts w:ascii="Calibri" w:eastAsia="Times New Roman" w:hAnsi="Calibri" w:cs="Calibri"/>
          <w:kern w:val="0"/>
          <w:lang w:eastAsia="fr-FR"/>
          <w14:ligatures w14:val="none"/>
        </w:rPr>
        <w:t>2023-25</w:t>
      </w:r>
      <w:r w:rsidR="009E422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du</w:t>
      </w:r>
      <w:r w:rsidR="00776F2E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07/07/2023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du </w:t>
      </w:r>
      <w:r w:rsidR="00776F2E">
        <w:rPr>
          <w:rFonts w:ascii="Calibri" w:eastAsia="Times New Roman" w:hAnsi="Calibri" w:cs="Calibri"/>
          <w:kern w:val="0"/>
          <w:lang w:eastAsia="fr-FR"/>
          <w14:ligatures w14:val="none"/>
        </w:rPr>
        <w:t>C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onseil d’administration du Centre </w:t>
      </w:r>
      <w:r w:rsidR="00776F2E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de Gestion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de Tarn-et-Garonne.</w:t>
      </w:r>
    </w:p>
    <w:p w14:paraId="3401EAA9" w14:textId="5F5807CC" w:rsidR="00961C76" w:rsidRDefault="00961C76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0663FD4" w14:textId="09EB435B" w:rsidR="009E4228" w:rsidRPr="00B547F7" w:rsidRDefault="009E4228" w:rsidP="00B547F7">
      <w:pPr>
        <w:tabs>
          <w:tab w:val="left" w:pos="840"/>
        </w:tabs>
        <w:spacing w:before="120"/>
        <w:jc w:val="both"/>
        <w:rPr>
          <w:rFonts w:ascii="Calibri" w:hAnsi="Calibri" w:cs="Calibri"/>
          <w:b/>
          <w:sz w:val="28"/>
          <w:szCs w:val="28"/>
        </w:rPr>
      </w:pPr>
      <w:r w:rsidRPr="00B547F7">
        <w:rPr>
          <w:rFonts w:ascii="Calibri" w:hAnsi="Calibri" w:cs="Calibri"/>
          <w:b/>
          <w:sz w:val="28"/>
          <w:szCs w:val="28"/>
        </w:rPr>
        <w:t>IL A ÉTÉ CONVENU ET ARRÊTÉ CE QUI SUIT :</w:t>
      </w:r>
    </w:p>
    <w:p w14:paraId="75F398D7" w14:textId="77777777" w:rsidR="00961C76" w:rsidRPr="00773601" w:rsidRDefault="00961C76" w:rsidP="00961C76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</w:p>
    <w:p w14:paraId="48DF2038" w14:textId="0870F87A" w:rsidR="00961C76" w:rsidRPr="00B547F7" w:rsidRDefault="00316E44" w:rsidP="009E4228">
      <w:pPr>
        <w:spacing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1 : Mission du référent déontologue des élus</w:t>
      </w:r>
      <w:r w:rsidR="00840000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 xml:space="preserve"> locaux</w:t>
      </w:r>
    </w:p>
    <w:p w14:paraId="4C380A86" w14:textId="33B1393F" w:rsidR="00961C76" w:rsidRPr="00773601" w:rsidRDefault="00961C76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Tout élu local de la collectivité peut consulter le référent déontologue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qui est chargé de lui apporter tout conseil utile au respect des principes déontologiques suivants :</w:t>
      </w:r>
    </w:p>
    <w:p w14:paraId="5B655500" w14:textId="77777777" w:rsidR="00691B93" w:rsidRDefault="00691B93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4954BA0F" w14:textId="77777777" w:rsidR="00316E44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1. L'élu local exerce ses fonctions avec impartialité, diligence, dignité, probité et intégrité.</w:t>
      </w:r>
    </w:p>
    <w:p w14:paraId="4B1DC54C" w14:textId="77777777" w:rsidR="00316E44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2. Dans l'exercice de son mandat, l'élu local poursuit le seul intérêt général, à l'exclusion de tout intérêt qui lui soit personnel, directement ou indirectement, ou de tout autre intérêt particulier.</w:t>
      </w:r>
    </w:p>
    <w:p w14:paraId="6AAB1B0F" w14:textId="5026E4A0" w:rsidR="00961C76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3. L'élu local veille à prévenir ou à faire cesser immédiatement tout conflit d'intérêts. Lorsque ses intérêts personnels sont en cause dans les affaires soumises à l'organe délibérant dont il est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membre, l'élu local s'engage à les faire connaître avant le débat et le vote.</w:t>
      </w:r>
    </w:p>
    <w:p w14:paraId="69992220" w14:textId="32EEFBCE" w:rsidR="00961C76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4. L'élu local s'engage à ne pas utiliser les ressources et les moyens mis à sa disposition pour l'exercice de son mandat ou de ses fonctions à d'autres fins.</w:t>
      </w:r>
    </w:p>
    <w:p w14:paraId="3A934FAB" w14:textId="77777777" w:rsidR="00316E44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5. Dans l'exercice de ses fonctions, l'élu local s'abstient de prendre des mesures lui accordant un avantage personnel ou professionnel futur après la cessation de son mandat et de ses fonctions.</w:t>
      </w:r>
    </w:p>
    <w:p w14:paraId="472E9E3F" w14:textId="5C156272" w:rsidR="00961C76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6. L'élu local participe avec assiduité aux réunions de l'organe délibérant et des instances au sein desquelles il a été désigné.</w:t>
      </w:r>
    </w:p>
    <w:p w14:paraId="44A05668" w14:textId="62A927D5" w:rsidR="00961C76" w:rsidRDefault="00961C76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7. Issu du suffrage universel, l'élu local est et reste responsable de ses actes pour la durée de son mandat devant l'ensemble des citoyens de la collectivité territoriale, à qui il rend compte des actes et décisions pris dans le cadre de ses fonctions.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</w:p>
    <w:p w14:paraId="0E6A0188" w14:textId="77777777" w:rsidR="00B547F7" w:rsidRDefault="00B547F7" w:rsidP="00316E44">
      <w:pPr>
        <w:spacing w:after="60" w:line="240" w:lineRule="auto"/>
        <w:ind w:left="284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21199D4" w14:textId="402189EE" w:rsidR="00AD60C8" w:rsidRPr="00773601" w:rsidRDefault="00B278A3" w:rsidP="00B278A3">
      <w:pPr>
        <w:tabs>
          <w:tab w:val="left" w:pos="6195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ab/>
      </w:r>
    </w:p>
    <w:p w14:paraId="4BD364D7" w14:textId="77777777" w:rsidR="00AD60C8" w:rsidRDefault="00961C76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>Les conseils rendus par le référent déontologue ne font pas grief et ne sont pas susceptibles de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recours, ils n’ont pas de caractère obligatoire pour leurs destinataires et en sens inverse ne leur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confèrent aucun droit.</w:t>
      </w:r>
    </w:p>
    <w:p w14:paraId="229D96C1" w14:textId="77777777" w:rsidR="00AD60C8" w:rsidRDefault="00961C76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référent déontologue peut rédiger des guides, chartes ou recommandations permettant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d’informer les élus locaux sur les principes déontologiques qui s’appliquent dans le cadre de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leurs fonctions.</w:t>
      </w:r>
    </w:p>
    <w:p w14:paraId="545A90DF" w14:textId="68729057" w:rsidR="00961C76" w:rsidRDefault="00961C76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référent déontologue rédige un rapport annuel d’activités, assorti de propositions et de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préconisations.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</w:r>
    </w:p>
    <w:p w14:paraId="0E185B76" w14:textId="77777777" w:rsidR="00691B93" w:rsidRPr="00773601" w:rsidRDefault="00691B93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3F58C31" w14:textId="70876232" w:rsidR="00961C76" w:rsidRPr="00B547F7" w:rsidRDefault="00961C76" w:rsidP="00961C76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</w:t>
      </w:r>
      <w:r w:rsidR="00316E44"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rticle 2 : Modalités d'exercice du référent déontologue des élus</w:t>
      </w:r>
      <w:r w:rsidR="00840000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 xml:space="preserve"> locaux</w:t>
      </w:r>
    </w:p>
    <w:p w14:paraId="738DB4D0" w14:textId="0A4B7FA4" w:rsidR="00691B93" w:rsidRDefault="00961C76" w:rsidP="009E4228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Les missions de référent déontologue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élus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8400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locaux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sont exercées par un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 personne désignée par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P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résident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raison de 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son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expérience et de ses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compétences.</w:t>
      </w:r>
    </w:p>
    <w:p w14:paraId="7A371755" w14:textId="35FF3C95" w:rsidR="00691B93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Ce référent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déontologue des élus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8400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locaux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statut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référent unique.</w:t>
      </w:r>
    </w:p>
    <w:p w14:paraId="2B376649" w14:textId="3C7A9042" w:rsidR="00E172C7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référent déontologue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élus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8400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locaux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est soumis à l’obligation de secret professionnel et fait preuve de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discrétion et assure de manière indépendante et impartiale le traitement des saisines. Toutes les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questions et réponses apportées, ainsi que les différents échanges avec l’élus, sont confidentiels.</w:t>
      </w:r>
    </w:p>
    <w:p w14:paraId="48351513" w14:textId="1EA11734" w:rsidR="00691B93" w:rsidRDefault="00691B93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503FAB6" w14:textId="77777777" w:rsidR="00691B93" w:rsidRPr="00773601" w:rsidRDefault="00691B93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BBF0629" w14:textId="18ED6172" w:rsidR="00E172C7" w:rsidRPr="00B547F7" w:rsidRDefault="00316E44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3 : Saisine du référent déontologue des élus</w:t>
      </w:r>
      <w:r w:rsidR="00840000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 xml:space="preserve"> locaux</w:t>
      </w:r>
    </w:p>
    <w:p w14:paraId="05A0B840" w14:textId="5F09B72E" w:rsidR="00691B93" w:rsidRDefault="00961C76" w:rsidP="009E4228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L’élu de la collectivité pourra saisir le référent déontologue par le biais d’un formulaire mis à sa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disposition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sur le site internet du Centre de Gestion, </w:t>
      </w:r>
      <w:hyperlink r:id="rId8" w:history="1">
        <w:r w:rsidR="00691B93" w:rsidRPr="008D067E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www.cdg82.fr</w:t>
        </w:r>
      </w:hyperlink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2AE41221" w14:textId="71EBB886" w:rsidR="00773601" w:rsidRPr="00773601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référent déontologue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élus </w:t>
      </w:r>
      <w:r w:rsidR="008400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locaux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doit accuser réception de cette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demande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dans un délai maximum de deux semaines.</w:t>
      </w:r>
    </w:p>
    <w:p w14:paraId="0D810177" w14:textId="32F37259" w:rsidR="00773601" w:rsidRDefault="00773601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40768A36" w14:textId="77777777" w:rsidR="00691B93" w:rsidRPr="00773601" w:rsidRDefault="00691B93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38CAF097" w14:textId="1A84AFC2" w:rsidR="00773601" w:rsidRPr="00B547F7" w:rsidRDefault="00316E44" w:rsidP="00AD60C8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bookmarkStart w:id="0" w:name="_Hlk137545465"/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 xml:space="preserve">Article </w:t>
      </w:r>
      <w:r w:rsidR="009E4228"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4</w:t>
      </w: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 xml:space="preserve"> : Déport éventuel de la mission</w:t>
      </w:r>
    </w:p>
    <w:p w14:paraId="4593C16E" w14:textId="65082508" w:rsidR="00773601" w:rsidRPr="009E4228" w:rsidRDefault="006F1C08" w:rsidP="009E4228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  <w:r w:rsidRPr="009C4C27">
        <w:t xml:space="preserve">Dans le cas où le référent déontologue titulaire se trouverait dans une situation de conflits d’intérêts faisant obstacle à ce qu’il traite la saisine d’un élu, il sera suppléé par </w:t>
      </w:r>
      <w:r w:rsidR="00773601" w:rsidRPr="009C4C27">
        <w:rPr>
          <w:rFonts w:ascii="Calibri" w:hAnsi="Calibri" w:cs="Calibri"/>
        </w:rPr>
        <w:t xml:space="preserve">un référent déontologue </w:t>
      </w:r>
      <w:r w:rsidR="00B32E95" w:rsidRPr="009C4C27">
        <w:rPr>
          <w:rFonts w:ascii="Calibri" w:hAnsi="Calibri" w:cs="Calibri"/>
        </w:rPr>
        <w:t xml:space="preserve">suppléant, </w:t>
      </w:r>
      <w:r w:rsidR="0031133B" w:rsidRPr="009C4C27">
        <w:rPr>
          <w:rFonts w:ascii="Calibri" w:hAnsi="Calibri" w:cs="Calibri"/>
        </w:rPr>
        <w:t xml:space="preserve">préalablement désigné par le Président du </w:t>
      </w:r>
      <w:r w:rsidR="00AD60C8" w:rsidRPr="009C4C27">
        <w:rPr>
          <w:rFonts w:ascii="Calibri" w:hAnsi="Calibri" w:cs="Calibri"/>
        </w:rPr>
        <w:t>Centre de Gestion</w:t>
      </w:r>
      <w:r w:rsidR="0031133B" w:rsidRPr="009C4C27">
        <w:rPr>
          <w:rFonts w:ascii="Calibri" w:hAnsi="Calibri" w:cs="Calibri"/>
        </w:rPr>
        <w:t xml:space="preserve"> </w:t>
      </w:r>
      <w:r w:rsidR="00B278A3" w:rsidRPr="009C4C27">
        <w:rPr>
          <w:rFonts w:ascii="Calibri" w:hAnsi="Calibri" w:cs="Calibri"/>
        </w:rPr>
        <w:t xml:space="preserve">ainsi que </w:t>
      </w:r>
      <w:r w:rsidR="007102C6" w:rsidRPr="009C4C27">
        <w:rPr>
          <w:rFonts w:ascii="Calibri" w:hAnsi="Calibri" w:cs="Calibri"/>
        </w:rPr>
        <w:t xml:space="preserve">par la collectivité par </w:t>
      </w:r>
      <w:r w:rsidR="00773601" w:rsidRPr="009C4C27">
        <w:rPr>
          <w:rFonts w:ascii="Calibri" w:hAnsi="Calibri" w:cs="Calibri"/>
        </w:rPr>
        <w:t>délibération</w:t>
      </w:r>
      <w:r w:rsidR="007102C6" w:rsidRPr="009C4C27">
        <w:rPr>
          <w:rFonts w:ascii="Calibri" w:hAnsi="Calibri" w:cs="Calibri"/>
        </w:rPr>
        <w:t>.</w:t>
      </w:r>
    </w:p>
    <w:bookmarkEnd w:id="0"/>
    <w:p w14:paraId="149693A7" w14:textId="5D3354AA" w:rsidR="00E172C7" w:rsidRDefault="00E172C7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543F5B9" w14:textId="77777777" w:rsidR="00691B93" w:rsidRPr="00773601" w:rsidRDefault="00691B93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E391A74" w14:textId="1E55AF4C" w:rsidR="00E172C7" w:rsidRPr="00B547F7" w:rsidRDefault="009E422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5 : Conditions financières</w:t>
      </w:r>
    </w:p>
    <w:p w14:paraId="532DE700" w14:textId="0D8BF689" w:rsidR="00AD60C8" w:rsidRDefault="00961C76" w:rsidP="009E4228">
      <w:pPr>
        <w:spacing w:before="120"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La collectivité s’engage à verser au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une contribution </w:t>
      </w:r>
      <w:r w:rsidR="009E4228">
        <w:rPr>
          <w:rFonts w:ascii="Calibri" w:eastAsia="Times New Roman" w:hAnsi="Calibri" w:cs="Calibri"/>
          <w:kern w:val="0"/>
          <w:lang w:eastAsia="fr-FR"/>
          <w14:ligatures w14:val="none"/>
        </w:rPr>
        <w:t>calculée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sur la base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d’un tarif de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:</w:t>
      </w:r>
    </w:p>
    <w:p w14:paraId="1F905094" w14:textId="75531FA9" w:rsidR="00AD60C8" w:rsidRPr="00AD60C8" w:rsidRDefault="00D535E7" w:rsidP="00AD60C8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>100</w:t>
      </w:r>
      <w:r w:rsidR="00961C76" w:rsidRPr="00AD60C8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 xml:space="preserve"> euros par saisine traitée</w:t>
      </w:r>
      <w:r w:rsidR="00AD60C8" w:rsidRPr="00AD60C8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 xml:space="preserve"> pour les collectivités affiliées ;</w:t>
      </w:r>
    </w:p>
    <w:p w14:paraId="2C069E3B" w14:textId="77777777" w:rsidR="00AD60C8" w:rsidRPr="00AD60C8" w:rsidRDefault="00AD60C8" w:rsidP="00AD60C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>150 euros par saisine traitée pour les collectivités non-affiliées.</w:t>
      </w:r>
    </w:p>
    <w:p w14:paraId="4DE0EB2D" w14:textId="77777777" w:rsidR="00691B93" w:rsidRDefault="00691B93" w:rsidP="00AD60C8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B366158" w14:textId="77777777" w:rsidR="00691B93" w:rsidRDefault="00961C76" w:rsidP="00691B93">
      <w:pPr>
        <w:pStyle w:val="Paragraphedeliste"/>
        <w:spacing w:after="0" w:line="240" w:lineRule="auto"/>
        <w:ind w:left="0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Lorsque la saisine est jugée non recevable, aucune facturation n’est appliquée.</w:t>
      </w:r>
    </w:p>
    <w:p w14:paraId="5E838501" w14:textId="2B7A3B01" w:rsidR="00691B93" w:rsidRDefault="00961C76" w:rsidP="00691B93">
      <w:pPr>
        <w:pStyle w:val="Paragraphedeliste"/>
        <w:spacing w:after="0" w:line="240" w:lineRule="auto"/>
        <w:ind w:left="0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Ces contributions font l’objet de titres de recettes établis par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accompagnés</w:t>
      </w:r>
      <w:r w:rsidR="00E172C7"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d’un état détaillant le nombre de saisines traitées par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</w:t>
      </w:r>
      <w:r w:rsidR="00E172C7"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facturées à la</w:t>
      </w:r>
      <w:r w:rsidR="00E172C7"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collectivité.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br/>
        <w:t>Ces conditions financières sont susceptibles d’être actualisées annuellement par le conseil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d’administration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, pour application à partir du 1er janvier de l’exercice</w:t>
      </w:r>
      <w:r w:rsidR="00E172C7"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suivant. Cette actualisation fait l’objet d’un avenant à la présente convention.</w:t>
      </w:r>
    </w:p>
    <w:p w14:paraId="636A6B66" w14:textId="77777777" w:rsidR="00AD60C8" w:rsidRDefault="00AD60C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fr-FR"/>
          <w14:ligatures w14:val="none"/>
        </w:rPr>
      </w:pPr>
    </w:p>
    <w:p w14:paraId="1667FB36" w14:textId="77777777" w:rsidR="00AD60C8" w:rsidRDefault="00AD60C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fr-FR"/>
          <w14:ligatures w14:val="none"/>
        </w:rPr>
      </w:pPr>
    </w:p>
    <w:p w14:paraId="39732FA6" w14:textId="25ACD31C" w:rsidR="00E172C7" w:rsidRPr="00B547F7" w:rsidRDefault="009E422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6 : Protection des données à caractère personnel</w:t>
      </w:r>
    </w:p>
    <w:p w14:paraId="2909320F" w14:textId="77777777" w:rsidR="00AD60C8" w:rsidRDefault="00961C76" w:rsidP="009E4228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Les données personnelles collectées sont utilisées pour recueillir les saisines des élus et leur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apporter tout conseil utile au respect des principes déontologiques.</w:t>
      </w:r>
    </w:p>
    <w:p w14:paraId="022A2E09" w14:textId="6EF43103" w:rsidR="00AD60C8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dispositif est mis en œuvre pour répondre aux exigences du code général des collectivités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territoriales, notamment ses articles L. 1111-1-1 et R. 1111-1-A. à R. 1111-1-D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5A4E5536" w14:textId="77777777" w:rsidR="00AD60C8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 traitement est confidentiel, à destination du collège de référents déontologue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63B351B5" w14:textId="77777777" w:rsidR="00AD60C8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Les données transmises sont strictement proportionnées à la poursuite des finalités du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signalement.</w:t>
      </w:r>
    </w:p>
    <w:p w14:paraId="5B09F86E" w14:textId="3AB585AF" w:rsidR="00AD60C8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Elles ne sont pas conservées au-delà d’une période de 12 mois à compter de la date de</w:t>
      </w:r>
      <w:r w:rsidR="00B547F7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réponse apportée. Au terme de ce délai, les éléments tant en termes de questionnement que</w:t>
      </w:r>
      <w:r w:rsidR="00691B9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de réponse après anonymisation pourront être utilisés à des fins statistiques sans qu’il soit</w:t>
      </w:r>
      <w:r w:rsidR="00691B9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possible d’en identifier la personne à l’origine.</w:t>
      </w:r>
    </w:p>
    <w:p w14:paraId="1CDC5AAA" w14:textId="021F78A6" w:rsidR="00761BB1" w:rsidRDefault="00961C76" w:rsidP="00761BB1">
      <w:pPr>
        <w:spacing w:after="60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>Conformément à la loi « informatique et libertés » n°78-17 du 6 janvier 1978 et au règlement</w:t>
      </w:r>
      <w:r w:rsidR="00691B9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(UE) 2016/679 du Parlement européen et </w:t>
      </w:r>
      <w:r w:rsidRPr="00761BB1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 xml:space="preserve">du Conseil du 27 avril 2016 (RGPD) </w:t>
      </w:r>
      <w:r w:rsidR="00761BB1" w:rsidRPr="00761BB1">
        <w:rPr>
          <w:color w:val="000000" w:themeColor="text1"/>
          <w:lang w:eastAsia="fr-FR"/>
        </w:rPr>
        <w:t>les personnes concernées disposent du droit d’accès, de rectification, d’opposition ainsi que du droit de demander la limitation du traitement de leurs données. </w:t>
      </w:r>
      <w:r w:rsidRPr="00761BB1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 xml:space="preserve"> Ces droits peuvent être exercés </w:t>
      </w:r>
      <w:r w:rsidR="00761BB1" w:rsidRPr="00761BB1">
        <w:rPr>
          <w:rFonts w:ascii="Calibri" w:eastAsia="Times New Roman" w:hAnsi="Calibri" w:cs="Calibri"/>
          <w:color w:val="000000" w:themeColor="text1"/>
          <w:kern w:val="0"/>
          <w:lang w:eastAsia="fr-FR"/>
          <w14:ligatures w14:val="none"/>
        </w:rPr>
        <w:t>:</w:t>
      </w:r>
    </w:p>
    <w:p w14:paraId="2DCA4CFB" w14:textId="04CAE8EC" w:rsidR="00761BB1" w:rsidRDefault="00761BB1" w:rsidP="00761BB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de préférence par courriel à l'adresse : dpd@cdg82.fr,</w:t>
      </w:r>
    </w:p>
    <w:p w14:paraId="3EE135CA" w14:textId="311C0645" w:rsidR="00071033" w:rsidRDefault="00761BB1" w:rsidP="005E5B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ou </w:t>
      </w:r>
      <w:r w:rsidR="00961C76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par courrier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postal </w:t>
      </w:r>
      <w:r w:rsidR="00961C76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à l’adresse suivante : </w:t>
      </w:r>
      <w:r w:rsidR="00AD60C8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la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F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onction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P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ublique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erritoriale de Tarn-et-Garonne, à l’attention </w:t>
      </w:r>
      <w:r w:rsidR="00961C76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>du délégué à la protection des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961C76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données, </w:t>
      </w:r>
      <w:r w:rsidR="00071033" w:rsidRPr="00761BB1">
        <w:rPr>
          <w:rFonts w:ascii="Calibri" w:eastAsia="Times New Roman" w:hAnsi="Calibri" w:cs="Calibri"/>
          <w:kern w:val="0"/>
          <w:lang w:eastAsia="fr-FR"/>
          <w14:ligatures w14:val="none"/>
        </w:rPr>
        <w:t>23 boulevard Vincent Auriol 82000 Montauban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,</w:t>
      </w:r>
    </w:p>
    <w:p w14:paraId="1A3D4975" w14:textId="392A56AD" w:rsidR="00AD60C8" w:rsidRDefault="00761BB1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Les personnes qui estimeraient, 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après nous avoir contacté, que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leurs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droits concernant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leurs 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données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personnelles ne sont pas respectés,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peuvent 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introduire une réclamation auprès de la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961C76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Commission Nationale de l’Informatique et les Libertés (CNIL).</w:t>
      </w:r>
    </w:p>
    <w:p w14:paraId="7DAF12F0" w14:textId="7B1F8F69" w:rsidR="00AD60C8" w:rsidRPr="00AD60C8" w:rsidRDefault="00961C76" w:rsidP="00761BB1">
      <w:pPr>
        <w:pStyle w:val="Paragraphedeliste"/>
        <w:numPr>
          <w:ilvl w:val="0"/>
          <w:numId w:val="5"/>
        </w:numPr>
        <w:spacing w:before="120" w:after="0" w:line="240" w:lineRule="auto"/>
        <w:ind w:left="709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Sur le site de la CNIL : </w:t>
      </w:r>
      <w:hyperlink r:id="rId9" w:history="1">
        <w:r w:rsidR="00AD60C8" w:rsidRPr="00AD60C8">
          <w:rPr>
            <w:rStyle w:val="Lienhypertexte"/>
            <w:rFonts w:ascii="Calibri" w:eastAsia="Times New Roman" w:hAnsi="Calibri" w:cs="Calibri"/>
            <w:kern w:val="0"/>
            <w:lang w:eastAsia="fr-FR"/>
            <w14:ligatures w14:val="none"/>
          </w:rPr>
          <w:t>https://www.cnil.fr/fr/plaintes</w:t>
        </w:r>
      </w:hyperlink>
    </w:p>
    <w:p w14:paraId="7C9BDB2A" w14:textId="2A61CDF9" w:rsidR="00E172C7" w:rsidRPr="00AD60C8" w:rsidRDefault="00961C76" w:rsidP="00761BB1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AD60C8">
        <w:rPr>
          <w:rFonts w:ascii="Calibri" w:eastAsia="Times New Roman" w:hAnsi="Calibri" w:cs="Calibri"/>
          <w:kern w:val="0"/>
          <w:lang w:eastAsia="fr-FR"/>
          <w14:ligatures w14:val="none"/>
        </w:rPr>
        <w:t>Par voie postale : CNIL - 3 Place de Fontenoy -TSA 80715 -75334 PARIS CEDEX 07</w:t>
      </w:r>
    </w:p>
    <w:p w14:paraId="0FB7FE48" w14:textId="48AAF3D1" w:rsidR="00AD60C8" w:rsidRDefault="00AD60C8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615863ED" w14:textId="77777777" w:rsidR="00691B93" w:rsidRPr="00773601" w:rsidRDefault="00691B93" w:rsidP="00AD60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3FEF015" w14:textId="252550D2" w:rsidR="00E172C7" w:rsidRPr="00B547F7" w:rsidRDefault="009E422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7 : Durée de la convention</w:t>
      </w:r>
    </w:p>
    <w:p w14:paraId="3A0EE146" w14:textId="6BF1F847" w:rsidR="00E172C7" w:rsidRDefault="00961C76" w:rsidP="009E4228">
      <w:pPr>
        <w:spacing w:before="120"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La présente convention prend effet à compter du 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......</w:t>
      </w:r>
      <w:r w:rsidR="009B02B5"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............</w:t>
      </w:r>
      <w:r w:rsidRPr="001A6E3C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.........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 une durée d</w:t>
      </w:r>
      <w:r w:rsidR="00D535E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e 1 an.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Elle est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renouvelable par tacite reconduction.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</w:r>
    </w:p>
    <w:p w14:paraId="3AC7766A" w14:textId="77777777" w:rsidR="00691B93" w:rsidRPr="00773601" w:rsidRDefault="00691B93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fr-FR"/>
          <w14:ligatures w14:val="none"/>
        </w:rPr>
      </w:pPr>
    </w:p>
    <w:p w14:paraId="70D6C04B" w14:textId="42591932" w:rsidR="00E172C7" w:rsidRPr="00B547F7" w:rsidRDefault="009E422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8 : Conditions de résiliation de la c</w:t>
      </w:r>
      <w:r w:rsidR="00B547F7"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o</w:t>
      </w: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nvention</w:t>
      </w:r>
    </w:p>
    <w:p w14:paraId="440DA692" w14:textId="76F733DC" w:rsidR="00E172C7" w:rsidRPr="00773601" w:rsidRDefault="00E172C7" w:rsidP="00961C76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4EA2DEC" w14:textId="4A23F21A" w:rsidR="00E172C7" w:rsidRPr="00B547F7" w:rsidRDefault="0031133B" w:rsidP="00961C76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8</w:t>
      </w:r>
      <w:r w:rsidR="00E172C7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.1 : </w:t>
      </w:r>
      <w:r w:rsidR="009E4228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Résiliation par</w:t>
      </w:r>
      <w:r w:rsidR="00E172C7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le </w:t>
      </w:r>
      <w:r w:rsidR="00AD60C8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Centre de Gestion</w:t>
      </w:r>
    </w:p>
    <w:p w14:paraId="73214E5C" w14:textId="7CBC9466" w:rsidR="00961C76" w:rsidRPr="00773601" w:rsidRDefault="00961C76" w:rsidP="009E4228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La présente convention peut être résiliée de droit par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dans les situations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suivantes :</w:t>
      </w:r>
    </w:p>
    <w:p w14:paraId="05B6057C" w14:textId="77777777" w:rsidR="00AD60C8" w:rsidRDefault="00961C76" w:rsidP="009E4228">
      <w:pPr>
        <w:spacing w:before="120" w:after="12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1°. Inexécution par la collectivité de ses obligations prévues, notamment par le non-paiement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des contributions dues au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,</w:t>
      </w:r>
    </w:p>
    <w:p w14:paraId="6E28D789" w14:textId="32FD181A" w:rsidR="00E172C7" w:rsidRPr="00773601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2°. Suppression de la mission couverte par la présente convention par le conseil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d'administration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52612C28" w14:textId="77777777" w:rsidR="00AD60C8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Dans ces situations,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devra par lettre recommandée avec accusé de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réception aviser la collectivité de l’usage de cette clause.</w:t>
      </w:r>
    </w:p>
    <w:p w14:paraId="3D59A890" w14:textId="1A53477C" w:rsidR="00AD60C8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Dans les cas visés au 1°, la résiliation ne sera effective qu’après mise en demeure restée sans</w:t>
      </w:r>
      <w:r w:rsidR="00D535E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effet pendant un mois.</w:t>
      </w:r>
    </w:p>
    <w:p w14:paraId="07EA231D" w14:textId="77777777" w:rsidR="009E4228" w:rsidRDefault="009E4228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0B9ECE7D" w14:textId="77777777" w:rsidR="00AD60C8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Dans les cas visés au 2°,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s’engage à aviser la collectivité par lettre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recommandée avec accusé de réception six mois avant la date d’échéance de la convention.</w:t>
      </w:r>
    </w:p>
    <w:p w14:paraId="69FDCEFD" w14:textId="57796906" w:rsidR="00AD60C8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La résiliation sera effective après ladite échéance.</w:t>
      </w:r>
    </w:p>
    <w:p w14:paraId="63213FF4" w14:textId="77777777" w:rsidR="00AD60C8" w:rsidRDefault="00961C76" w:rsidP="009E4228">
      <w:pPr>
        <w:spacing w:after="0"/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Dans l’hypothèse d’une suppression d’une ou plusieurs missions découlant d’une modification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législative et réglementaire, la résiliation sera effective à la date d’application des nouvelles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dispositions et dès réception de la lettre recommandée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informant la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collectivité de cette modification.</w:t>
      </w:r>
    </w:p>
    <w:p w14:paraId="69B2B8DF" w14:textId="5C29ACCC" w:rsidR="00E172C7" w:rsidRDefault="00961C76" w:rsidP="009E4228">
      <w:pPr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Les résiliations ne donneront lieu à aucune indemnisation du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profit de la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collectivité.</w:t>
      </w:r>
    </w:p>
    <w:p w14:paraId="45D6F223" w14:textId="75C6392B" w:rsidR="00B547F7" w:rsidRDefault="00B547F7" w:rsidP="009E4228">
      <w:pPr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508C0BC6" w14:textId="3F21787B" w:rsidR="00034CEC" w:rsidRDefault="00034CEC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br w:type="page"/>
      </w:r>
    </w:p>
    <w:p w14:paraId="0217E2ED" w14:textId="77777777" w:rsidR="00C50023" w:rsidRDefault="00C50023" w:rsidP="009E4228">
      <w:pPr>
        <w:ind w:left="567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730B8037" w14:textId="2314A54F" w:rsidR="00E172C7" w:rsidRPr="00B547F7" w:rsidRDefault="0031133B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8</w:t>
      </w:r>
      <w:r w:rsidR="00E172C7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.</w:t>
      </w:r>
      <w:r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2</w:t>
      </w:r>
      <w:r w:rsidR="00E172C7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 : </w:t>
      </w:r>
      <w:r w:rsid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Résiliation p</w:t>
      </w:r>
      <w:r w:rsidR="00E172C7"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ar l</w:t>
      </w:r>
      <w:r w:rsidRPr="00B547F7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a collectivité</w:t>
      </w:r>
    </w:p>
    <w:p w14:paraId="0A119E28" w14:textId="77777777" w:rsidR="00691B93" w:rsidRDefault="00961C76" w:rsidP="009E4228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L’adhésion ne peut être résiliée par la collectivité qu’après respect d’un préavis de six mois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avant la date de son échéance.</w:t>
      </w:r>
    </w:p>
    <w:p w14:paraId="09CD4232" w14:textId="77777777" w:rsidR="00691B93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La collectivité devra avertir le </w:t>
      </w:r>
      <w:r w:rsidR="00AD60C8">
        <w:rPr>
          <w:rFonts w:ascii="Calibri" w:eastAsia="Times New Roman" w:hAnsi="Calibri" w:cs="Calibri"/>
          <w:kern w:val="0"/>
          <w:lang w:eastAsia="fr-FR"/>
          <w14:ligatures w14:val="none"/>
        </w:rPr>
        <w:t>Centre de Gestion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son intention de mettre en </w:t>
      </w:r>
      <w:r w:rsidR="00E172C7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œuvre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cette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clause par lettre recommandée avec accusé de réception.</w:t>
      </w:r>
    </w:p>
    <w:p w14:paraId="06E694AE" w14:textId="77777777" w:rsidR="00691B93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Les missions ne peuvent être interrompues par la collectivité en cours de réalisation et feront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l’objet des contributions prévues initialement.</w:t>
      </w:r>
    </w:p>
    <w:p w14:paraId="5625F3FB" w14:textId="56E28930" w:rsidR="00E172C7" w:rsidRDefault="00E172C7" w:rsidP="00691B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9D049A7" w14:textId="3C51B274" w:rsidR="00691B93" w:rsidRDefault="00691B93" w:rsidP="00E172C7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12539C86" w14:textId="075BDC0F" w:rsidR="00E172C7" w:rsidRPr="00B547F7" w:rsidRDefault="009E4228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</w:pPr>
      <w:r w:rsidRPr="00B547F7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Article 9 : Règlement des litiges</w:t>
      </w:r>
    </w:p>
    <w:p w14:paraId="19E71B40" w14:textId="53FA3F3E" w:rsidR="00691B93" w:rsidRDefault="00961C76" w:rsidP="00B547F7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Les parties s’engagent mutuellement à se rencontrer dans le cadre d’une procédure de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conciliation préalable en cas de difficultés dans l’exécution de la présente convention.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>En cas de litige survenant entre les parties à l’occasion de l’exécution de la présente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convention, compétence sera donnée au tribunal administratif de </w:t>
      </w:r>
      <w:r w:rsidR="00071033"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Toulouse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14C514C0" w14:textId="4BB5D632" w:rsidR="00E172C7" w:rsidRDefault="00961C76" w:rsidP="00691B93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</w:r>
    </w:p>
    <w:p w14:paraId="452A5CC8" w14:textId="77777777" w:rsidR="00691B93" w:rsidRPr="00773601" w:rsidRDefault="00691B93" w:rsidP="00E172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p w14:paraId="002D16F9" w14:textId="65F92ABC" w:rsidR="009F19A1" w:rsidRDefault="00961C76" w:rsidP="00961C76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t>Fait en 2 exemplaires originaux</w:t>
      </w:r>
      <w:r w:rsidRPr="00773601">
        <w:rPr>
          <w:rFonts w:ascii="Calibri" w:eastAsia="Times New Roman" w:hAnsi="Calibri" w:cs="Calibri"/>
          <w:kern w:val="0"/>
          <w:lang w:eastAsia="fr-FR"/>
          <w14:ligatures w14:val="none"/>
        </w:rPr>
        <w:br/>
      </w:r>
    </w:p>
    <w:p w14:paraId="22E9487A" w14:textId="77777777" w:rsidR="00691B93" w:rsidRDefault="00691B93" w:rsidP="00961C76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91B93" w14:paraId="47C134AA" w14:textId="77777777" w:rsidTr="00B547F7">
        <w:tc>
          <w:tcPr>
            <w:tcW w:w="4957" w:type="dxa"/>
          </w:tcPr>
          <w:p w14:paraId="04F150BE" w14:textId="20836CF6" w:rsidR="00691B93" w:rsidRDefault="00691B93" w:rsidP="00691B93">
            <w:pPr>
              <w:spacing w:before="120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773601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À Montauban, le…</w:t>
            </w:r>
            <w: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………</w:t>
            </w:r>
            <w:r w:rsidR="00034CEC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…………</w:t>
            </w:r>
            <w: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..</w:t>
            </w:r>
            <w:r w:rsidRPr="00773601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…</w:t>
            </w:r>
          </w:p>
          <w:p w14:paraId="0A40F2E2" w14:textId="163098BB" w:rsidR="00691B93" w:rsidRDefault="00691B93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Pour le CDG82</w:t>
            </w:r>
          </w:p>
          <w:p w14:paraId="615FFA19" w14:textId="3A0A8BD1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41A298A2" w14:textId="15C6522D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744B3B39" w14:textId="052BE05D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7F4AFD90" w14:textId="18D78089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1E6AC9EF" w14:textId="77777777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2A3823F1" w14:textId="77777777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  <w:p w14:paraId="632B1F5C" w14:textId="77777777" w:rsidR="00691B93" w:rsidRDefault="00691B93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Le Président</w:t>
            </w:r>
          </w:p>
          <w:p w14:paraId="1AF0C8AA" w14:textId="3452E744" w:rsidR="00691B93" w:rsidRDefault="00691B93" w:rsidP="00B547F7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Jean-Luc DEPRINCE</w:t>
            </w:r>
          </w:p>
        </w:tc>
        <w:tc>
          <w:tcPr>
            <w:tcW w:w="4961" w:type="dxa"/>
          </w:tcPr>
          <w:p w14:paraId="257E4EDD" w14:textId="57B34C89" w:rsidR="00691B93" w:rsidRPr="001A6E3C" w:rsidRDefault="00691B93" w:rsidP="00691B93">
            <w:pPr>
              <w:spacing w:before="120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A6E3C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À …………………………..…….….., le………………… </w:t>
            </w:r>
          </w:p>
          <w:p w14:paraId="4536035A" w14:textId="46C79451" w:rsidR="00691B93" w:rsidRPr="001A6E3C" w:rsidRDefault="00691B93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A6E3C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 xml:space="preserve">Pour…………………………………………………..……. </w:t>
            </w:r>
          </w:p>
          <w:p w14:paraId="7191B101" w14:textId="7D405B6F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2900BD11" w14:textId="1C6205E0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77882DE6" w14:textId="3E55D45B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7DC06E03" w14:textId="01D19837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60C926E8" w14:textId="77777777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4D6D5329" w14:textId="77777777" w:rsidR="00B547F7" w:rsidRPr="001A6E3C" w:rsidRDefault="00B547F7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</w:p>
          <w:p w14:paraId="73F7960D" w14:textId="77777777" w:rsidR="00691B93" w:rsidRPr="001A6E3C" w:rsidRDefault="00691B93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A6E3C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Le Maire / Le Président</w:t>
            </w:r>
          </w:p>
          <w:p w14:paraId="7726715A" w14:textId="3AB78BD8" w:rsidR="00691B93" w:rsidRPr="001A6E3C" w:rsidRDefault="00691B93" w:rsidP="00961C76">
            <w:pPr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A6E3C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………………………………………………………………</w:t>
            </w:r>
          </w:p>
          <w:p w14:paraId="224EE558" w14:textId="00AFE665" w:rsidR="00B547F7" w:rsidRDefault="00B547F7" w:rsidP="00961C76">
            <w:pPr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</w:tc>
      </w:tr>
    </w:tbl>
    <w:p w14:paraId="11CA95B9" w14:textId="77777777" w:rsidR="00691B93" w:rsidRPr="00773601" w:rsidRDefault="00691B93" w:rsidP="00961C76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sectPr w:rsidR="00691B93" w:rsidRPr="00773601" w:rsidSect="00B547F7">
      <w:footerReference w:type="default" r:id="rId10"/>
      <w:pgSz w:w="11906" w:h="16838"/>
      <w:pgMar w:top="568" w:right="991" w:bottom="709" w:left="851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5C4" w14:textId="77777777" w:rsidR="00872426" w:rsidRDefault="00872426" w:rsidP="00691B93">
      <w:pPr>
        <w:spacing w:after="0" w:line="240" w:lineRule="auto"/>
      </w:pPr>
      <w:r>
        <w:separator/>
      </w:r>
    </w:p>
  </w:endnote>
  <w:endnote w:type="continuationSeparator" w:id="0">
    <w:p w14:paraId="0E52A5F5" w14:textId="77777777" w:rsidR="00872426" w:rsidRDefault="00872426" w:rsidP="0069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20"/>
        <w:szCs w:val="20"/>
      </w:rPr>
      <w:id w:val="1594204957"/>
      <w:docPartObj>
        <w:docPartGallery w:val="Page Numbers (Bottom of Page)"/>
        <w:docPartUnique/>
      </w:docPartObj>
    </w:sdtPr>
    <w:sdtContent>
      <w:p w14:paraId="3EB7CF8F" w14:textId="4EFCDB73" w:rsidR="00691B93" w:rsidRPr="00691B93" w:rsidRDefault="00691B93" w:rsidP="00691B93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20"/>
            <w:szCs w:val="20"/>
          </w:rPr>
        </w:pPr>
        <w:r w:rsidRPr="00B8078B">
          <w:rPr>
            <w:color w:val="808080" w:themeColor="background1" w:themeShade="80"/>
            <w:sz w:val="20"/>
            <w:szCs w:val="20"/>
          </w:rPr>
          <w:t xml:space="preserve">CDG82 - Convention </w:t>
        </w:r>
        <w:r>
          <w:rPr>
            <w:color w:val="808080" w:themeColor="background1" w:themeShade="80"/>
            <w:sz w:val="20"/>
            <w:szCs w:val="20"/>
          </w:rPr>
          <w:t xml:space="preserve">Référent déontologue </w:t>
        </w:r>
        <w:r w:rsidR="00B278A3">
          <w:rPr>
            <w:color w:val="808080" w:themeColor="background1" w:themeShade="80"/>
            <w:sz w:val="20"/>
            <w:szCs w:val="20"/>
          </w:rPr>
          <w:t xml:space="preserve">des </w:t>
        </w:r>
        <w:r>
          <w:rPr>
            <w:color w:val="808080" w:themeColor="background1" w:themeShade="80"/>
            <w:sz w:val="20"/>
            <w:szCs w:val="20"/>
          </w:rPr>
          <w:t>Elus</w:t>
        </w:r>
        <w:r w:rsidRPr="00B8078B">
          <w:rPr>
            <w:color w:val="808080" w:themeColor="background1" w:themeShade="80"/>
            <w:sz w:val="20"/>
            <w:szCs w:val="20"/>
          </w:rPr>
          <w:t xml:space="preserve"> </w:t>
        </w:r>
        <w:r w:rsidR="00B547F7">
          <w:rPr>
            <w:color w:val="808080" w:themeColor="background1" w:themeShade="80"/>
            <w:sz w:val="20"/>
            <w:szCs w:val="20"/>
          </w:rPr>
          <w:t xml:space="preserve"> -</w:t>
        </w:r>
        <w:r w:rsidRPr="00B8078B">
          <w:rPr>
            <w:color w:val="808080" w:themeColor="background1" w:themeShade="80"/>
            <w:sz w:val="20"/>
            <w:szCs w:val="20"/>
          </w:rPr>
          <w:t xml:space="preserve">  </w:t>
        </w:r>
        <w:r w:rsidR="00B278A3">
          <w:rPr>
            <w:color w:val="808080" w:themeColor="background1" w:themeShade="80"/>
            <w:sz w:val="20"/>
            <w:szCs w:val="20"/>
          </w:rPr>
          <w:t>V. 18.09.2023</w:t>
        </w:r>
        <w:r>
          <w:rPr>
            <w:color w:val="808080" w:themeColor="background1" w:themeShade="80"/>
            <w:sz w:val="20"/>
            <w:szCs w:val="20"/>
          </w:rPr>
          <w:t xml:space="preserve">        </w:t>
        </w:r>
        <w:r w:rsidRPr="00B8078B">
          <w:rPr>
            <w:color w:val="808080" w:themeColor="background1" w:themeShade="80"/>
            <w:sz w:val="20"/>
            <w:szCs w:val="20"/>
          </w:rPr>
          <w:t xml:space="preserve">            </w:t>
        </w:r>
        <w:r>
          <w:rPr>
            <w:color w:val="808080" w:themeColor="background1" w:themeShade="80"/>
            <w:sz w:val="20"/>
            <w:szCs w:val="20"/>
          </w:rPr>
          <w:t xml:space="preserve">      </w:t>
        </w:r>
        <w:r w:rsidRPr="00B8078B">
          <w:rPr>
            <w:color w:val="808080" w:themeColor="background1" w:themeShade="80"/>
            <w:sz w:val="20"/>
            <w:szCs w:val="20"/>
          </w:rPr>
          <w:t xml:space="preserve">                                  Page </w:t>
        </w:r>
        <w:r w:rsidRPr="00B8078B">
          <w:rPr>
            <w:color w:val="808080" w:themeColor="background1" w:themeShade="80"/>
            <w:sz w:val="20"/>
            <w:szCs w:val="20"/>
          </w:rPr>
          <w:fldChar w:fldCharType="begin"/>
        </w:r>
        <w:r w:rsidRPr="00B8078B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B8078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3</w:t>
        </w:r>
        <w:r w:rsidRPr="00B8078B">
          <w:rPr>
            <w:color w:val="808080" w:themeColor="background1" w:themeShade="80"/>
            <w:sz w:val="20"/>
            <w:szCs w:val="20"/>
          </w:rPr>
          <w:fldChar w:fldCharType="end"/>
        </w:r>
        <w:r w:rsidRPr="00B8078B">
          <w:rPr>
            <w:color w:val="808080" w:themeColor="background1" w:themeShade="80"/>
            <w:sz w:val="20"/>
            <w:szCs w:val="20"/>
          </w:rPr>
          <w:t xml:space="preserve"> | </w:t>
        </w:r>
        <w:r w:rsidRPr="00B8078B">
          <w:rPr>
            <w:color w:val="808080" w:themeColor="background1" w:themeShade="80"/>
            <w:sz w:val="20"/>
            <w:szCs w:val="20"/>
          </w:rPr>
          <w:fldChar w:fldCharType="begin"/>
        </w:r>
        <w:r w:rsidRPr="00B8078B">
          <w:rPr>
            <w:color w:val="808080" w:themeColor="background1" w:themeShade="80"/>
            <w:sz w:val="20"/>
            <w:szCs w:val="20"/>
          </w:rPr>
          <w:instrText>NUMPAGES  \* Arabic  \* MERGEFORMAT</w:instrText>
        </w:r>
        <w:r w:rsidRPr="00B8078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7</w:t>
        </w:r>
        <w:r w:rsidRPr="00B8078B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BEA8" w14:textId="77777777" w:rsidR="00872426" w:rsidRDefault="00872426" w:rsidP="00691B93">
      <w:pPr>
        <w:spacing w:after="0" w:line="240" w:lineRule="auto"/>
      </w:pPr>
      <w:r>
        <w:separator/>
      </w:r>
    </w:p>
  </w:footnote>
  <w:footnote w:type="continuationSeparator" w:id="0">
    <w:p w14:paraId="2C9D1B7A" w14:textId="77777777" w:rsidR="00872426" w:rsidRDefault="00872426" w:rsidP="0069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4C57"/>
    <w:multiLevelType w:val="hybridMultilevel"/>
    <w:tmpl w:val="27EC12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87106"/>
    <w:multiLevelType w:val="hybridMultilevel"/>
    <w:tmpl w:val="AB36B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305"/>
    <w:multiLevelType w:val="hybridMultilevel"/>
    <w:tmpl w:val="BFB4E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D46"/>
    <w:multiLevelType w:val="hybridMultilevel"/>
    <w:tmpl w:val="859A0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44633"/>
    <w:multiLevelType w:val="hybridMultilevel"/>
    <w:tmpl w:val="9ADA0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737F"/>
    <w:multiLevelType w:val="hybridMultilevel"/>
    <w:tmpl w:val="2C1A3268"/>
    <w:lvl w:ilvl="0" w:tplc="69229B1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82777">
    <w:abstractNumId w:val="2"/>
  </w:num>
  <w:num w:numId="2" w16cid:durableId="1599871580">
    <w:abstractNumId w:val="4"/>
  </w:num>
  <w:num w:numId="3" w16cid:durableId="1492024883">
    <w:abstractNumId w:val="5"/>
  </w:num>
  <w:num w:numId="4" w16cid:durableId="230314337">
    <w:abstractNumId w:val="3"/>
  </w:num>
  <w:num w:numId="5" w16cid:durableId="1865054506">
    <w:abstractNumId w:val="0"/>
  </w:num>
  <w:num w:numId="6" w16cid:durableId="122922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76"/>
    <w:rsid w:val="00004531"/>
    <w:rsid w:val="00005366"/>
    <w:rsid w:val="00034CEC"/>
    <w:rsid w:val="00071033"/>
    <w:rsid w:val="00093347"/>
    <w:rsid w:val="001256B6"/>
    <w:rsid w:val="001A6E3C"/>
    <w:rsid w:val="002F2C64"/>
    <w:rsid w:val="0031133B"/>
    <w:rsid w:val="00316E44"/>
    <w:rsid w:val="0033578E"/>
    <w:rsid w:val="00374D2E"/>
    <w:rsid w:val="003800D2"/>
    <w:rsid w:val="003F5B7E"/>
    <w:rsid w:val="0049297B"/>
    <w:rsid w:val="00571F23"/>
    <w:rsid w:val="00596248"/>
    <w:rsid w:val="00691B93"/>
    <w:rsid w:val="006F1C08"/>
    <w:rsid w:val="007102C6"/>
    <w:rsid w:val="00761BB1"/>
    <w:rsid w:val="00773601"/>
    <w:rsid w:val="00776F2E"/>
    <w:rsid w:val="007F73DE"/>
    <w:rsid w:val="00840000"/>
    <w:rsid w:val="00872426"/>
    <w:rsid w:val="00884C40"/>
    <w:rsid w:val="00941DC2"/>
    <w:rsid w:val="00961C76"/>
    <w:rsid w:val="009B02B5"/>
    <w:rsid w:val="009C2F26"/>
    <w:rsid w:val="009C4C27"/>
    <w:rsid w:val="009E4228"/>
    <w:rsid w:val="009F19A1"/>
    <w:rsid w:val="00A27254"/>
    <w:rsid w:val="00AD60C8"/>
    <w:rsid w:val="00AE5C3D"/>
    <w:rsid w:val="00AE5E58"/>
    <w:rsid w:val="00B278A3"/>
    <w:rsid w:val="00B32E95"/>
    <w:rsid w:val="00B547F7"/>
    <w:rsid w:val="00B74005"/>
    <w:rsid w:val="00BF79EC"/>
    <w:rsid w:val="00C50023"/>
    <w:rsid w:val="00CC60AA"/>
    <w:rsid w:val="00D508E0"/>
    <w:rsid w:val="00D535E7"/>
    <w:rsid w:val="00E172C7"/>
    <w:rsid w:val="00E52828"/>
    <w:rsid w:val="00EE0271"/>
    <w:rsid w:val="00F228AA"/>
    <w:rsid w:val="00F23E46"/>
    <w:rsid w:val="00F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2E2622"/>
  <w15:chartTrackingRefBased/>
  <w15:docId w15:val="{08770DC9-EE5E-482B-9BB0-BE08D43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0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60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60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B93"/>
  </w:style>
  <w:style w:type="paragraph" w:styleId="Pieddepage">
    <w:name w:val="footer"/>
    <w:basedOn w:val="Normal"/>
    <w:link w:val="PieddepageCar"/>
    <w:uiPriority w:val="99"/>
    <w:unhideWhenUsed/>
    <w:rsid w:val="006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B93"/>
  </w:style>
  <w:style w:type="table" w:styleId="Grilledutableau">
    <w:name w:val="Table Grid"/>
    <w:basedOn w:val="TableauNormal"/>
    <w:uiPriority w:val="39"/>
    <w:rsid w:val="0069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8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plain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PAPY</dc:creator>
  <cp:keywords/>
  <dc:description/>
  <cp:lastModifiedBy>Pierre LORENZO</cp:lastModifiedBy>
  <cp:revision>13</cp:revision>
  <dcterms:created xsi:type="dcterms:W3CDTF">2023-06-26T12:21:00Z</dcterms:created>
  <dcterms:modified xsi:type="dcterms:W3CDTF">2024-02-08T09:42:00Z</dcterms:modified>
</cp:coreProperties>
</file>