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CC3" w14:textId="4B79177F" w:rsidR="00D47E9B" w:rsidRPr="002B611A" w:rsidRDefault="00A44768"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Ingénieur</w:t>
      </w:r>
      <w:r w:rsidR="004A6010"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23DEF9A4" w14:textId="343731A7" w:rsidR="00A44768" w:rsidRPr="00A44768" w:rsidRDefault="00A44768" w:rsidP="00A44768">
      <w:pPr>
        <w:jc w:val="both"/>
        <w:rPr>
          <w:rFonts w:asciiTheme="minorHAnsi" w:hAnsiTheme="minorHAnsi" w:cstheme="minorHAnsi"/>
          <w:b/>
          <w:sz w:val="22"/>
          <w:szCs w:val="22"/>
        </w:rPr>
      </w:pPr>
      <w:r w:rsidRPr="00A44768">
        <w:rPr>
          <w:rFonts w:asciiTheme="minorHAnsi" w:hAnsiTheme="minorHAnsi" w:cstheme="minorHAnsi"/>
          <w:b/>
          <w:sz w:val="22"/>
          <w:szCs w:val="22"/>
        </w:rPr>
        <w:t xml:space="preserve">Décret n°2016-201 du 26 </w:t>
      </w:r>
      <w:r w:rsidR="00477C9A">
        <w:rPr>
          <w:rFonts w:asciiTheme="minorHAnsi" w:hAnsiTheme="minorHAnsi" w:cstheme="minorHAnsi"/>
          <w:b/>
          <w:sz w:val="22"/>
          <w:szCs w:val="22"/>
        </w:rPr>
        <w:t>février</w:t>
      </w:r>
      <w:r w:rsidRPr="00A44768">
        <w:rPr>
          <w:rFonts w:asciiTheme="minorHAnsi" w:hAnsiTheme="minorHAnsi" w:cstheme="minorHAnsi"/>
          <w:b/>
          <w:sz w:val="22"/>
          <w:szCs w:val="22"/>
        </w:rPr>
        <w:t xml:space="preserve"> 2016 portant statut particulier du cadre d’emplois des ingénieurs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3A258B">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56CF0A12" w14:textId="07C2693B" w:rsidR="00A44768" w:rsidRPr="00477C9A" w:rsidRDefault="00A44768" w:rsidP="00A44768">
      <w:pPr>
        <w:jc w:val="both"/>
        <w:rPr>
          <w:rFonts w:asciiTheme="minorHAnsi" w:hAnsiTheme="minorHAnsi" w:cstheme="minorHAnsi"/>
          <w:bCs/>
          <w:i/>
          <w:color w:val="000000"/>
          <w:sz w:val="22"/>
          <w:szCs w:val="22"/>
        </w:rPr>
      </w:pPr>
      <w:r w:rsidRPr="00A44768">
        <w:rPr>
          <w:rFonts w:asciiTheme="minorHAnsi" w:hAnsiTheme="minorHAnsi" w:cstheme="minorHAnsi"/>
          <w:b/>
          <w:i/>
          <w:color w:val="000000"/>
          <w:sz w:val="22"/>
          <w:szCs w:val="22"/>
          <w:u w:val="single"/>
        </w:rPr>
        <w:t>Article 2</w:t>
      </w:r>
      <w:r w:rsidRPr="00A44768">
        <w:rPr>
          <w:rFonts w:asciiTheme="minorHAnsi" w:hAnsiTheme="minorHAnsi" w:cstheme="minorHAnsi"/>
          <w:bCs/>
          <w:i/>
          <w:color w:val="000000"/>
          <w:sz w:val="22"/>
          <w:szCs w:val="22"/>
        </w:rPr>
        <w:t xml:space="preserve"> « Les ingénieurs territoriaux exercent leurs</w:t>
      </w:r>
      <w:r w:rsidR="003236AA">
        <w:rPr>
          <w:rFonts w:asciiTheme="minorHAnsi" w:hAnsiTheme="minorHAnsi" w:cstheme="minorHAnsi"/>
          <w:bCs/>
          <w:i/>
          <w:color w:val="000000"/>
          <w:sz w:val="22"/>
          <w:szCs w:val="22"/>
        </w:rPr>
        <w:t xml:space="preserve"> </w:t>
      </w:r>
      <w:r w:rsidRPr="00A44768">
        <w:rPr>
          <w:rFonts w:asciiTheme="minorHAnsi" w:hAnsiTheme="minorHAnsi" w:cstheme="minorHAnsi"/>
          <w:bCs/>
          <w:i/>
          <w:color w:val="000000"/>
          <w:sz w:val="22"/>
          <w:szCs w:val="22"/>
        </w:rPr>
        <w:t>fonctions dans tous les domaines à caractère scientifique et technique entrant dans les compétences d'une collectivité territoriale ou d'un établissement public territorial, notamment dans les domaines relatifs</w:t>
      </w:r>
      <w:r w:rsidR="00477C9A">
        <w:rPr>
          <w:rFonts w:asciiTheme="minorHAnsi" w:hAnsiTheme="minorHAnsi" w:cstheme="minorHAnsi"/>
          <w:bCs/>
          <w:i/>
          <w:color w:val="000000"/>
          <w:sz w:val="22"/>
          <w:szCs w:val="22"/>
        </w:rPr>
        <w:t xml:space="preserve"> </w:t>
      </w:r>
      <w:r w:rsidRPr="00A44768">
        <w:rPr>
          <w:rFonts w:asciiTheme="minorHAnsi" w:hAnsiTheme="minorHAnsi" w:cstheme="minorHAnsi"/>
          <w:bCs/>
          <w:i/>
          <w:color w:val="000000"/>
          <w:sz w:val="22"/>
          <w:szCs w:val="22"/>
        </w:rPr>
        <w:t>: A l'ingénierie ; A la gestion technique et à l'architecture ; Aux infrastructures et aux réseaux ;</w:t>
      </w:r>
      <w:r w:rsidR="00477C9A">
        <w:rPr>
          <w:rFonts w:asciiTheme="minorHAnsi" w:hAnsiTheme="minorHAnsi" w:cstheme="minorHAnsi"/>
          <w:bCs/>
          <w:i/>
          <w:color w:val="000000"/>
          <w:sz w:val="22"/>
          <w:szCs w:val="22"/>
        </w:rPr>
        <w:t xml:space="preserve"> </w:t>
      </w:r>
      <w:r w:rsidRPr="00A44768">
        <w:rPr>
          <w:rFonts w:asciiTheme="minorHAnsi" w:hAnsiTheme="minorHAnsi" w:cstheme="minorHAnsi"/>
          <w:bCs/>
          <w:i/>
          <w:color w:val="000000"/>
          <w:sz w:val="22"/>
          <w:szCs w:val="22"/>
        </w:rPr>
        <w:t xml:space="preserve">A la prévention et à la gestion des risques ; A l'urbanisme, à l'aménagement et aux paysages ; A l'informatique et aux systèmes d'information. Ils assurent des missions de conception et d'encadrement. Ils peuvent se voir confier des missions d'expertise, des études ou la conduite de projets. Ils sont chargés, suivant le cas, de la gestion d'un service technique, d'une partie du service ou d'une section à laquelle sont confiées les attributions relevant de plusieurs services techniques. Seuls les </w:t>
      </w:r>
      <w:r w:rsidRPr="00A44768">
        <w:rPr>
          <w:rFonts w:asciiTheme="minorHAnsi" w:hAnsiTheme="minorHAnsi" w:cstheme="minorHAnsi"/>
          <w:bCs/>
          <w:i/>
          <w:sz w:val="22"/>
          <w:szCs w:val="22"/>
        </w:rPr>
        <w:t xml:space="preserve">fonctionnaires du cadre d'emplois répondant aux conditions des articles </w:t>
      </w:r>
      <w:hyperlink r:id="rId11" w:history="1">
        <w:r w:rsidRPr="00A44768">
          <w:rPr>
            <w:rStyle w:val="Lienhypertexte"/>
            <w:rFonts w:asciiTheme="minorHAnsi" w:hAnsiTheme="minorHAnsi" w:cstheme="minorHAnsi"/>
            <w:bCs/>
            <w:i/>
            <w:color w:val="auto"/>
            <w:sz w:val="22"/>
            <w:szCs w:val="22"/>
            <w:u w:val="none"/>
          </w:rPr>
          <w:t>10</w:t>
        </w:r>
      </w:hyperlink>
      <w:r w:rsidRPr="00A44768">
        <w:rPr>
          <w:rFonts w:asciiTheme="minorHAnsi" w:hAnsiTheme="minorHAnsi" w:cstheme="minorHAnsi"/>
          <w:bCs/>
          <w:i/>
          <w:sz w:val="22"/>
          <w:szCs w:val="22"/>
        </w:rPr>
        <w:t xml:space="preserve"> ou </w:t>
      </w:r>
      <w:hyperlink r:id="rId12" w:history="1">
        <w:r w:rsidRPr="00A44768">
          <w:rPr>
            <w:rStyle w:val="Lienhypertexte"/>
            <w:rFonts w:asciiTheme="minorHAnsi" w:hAnsiTheme="minorHAnsi" w:cstheme="minorHAnsi"/>
            <w:bCs/>
            <w:i/>
            <w:color w:val="auto"/>
            <w:sz w:val="22"/>
            <w:szCs w:val="22"/>
            <w:u w:val="none"/>
          </w:rPr>
          <w:t>37</w:t>
        </w:r>
      </w:hyperlink>
      <w:r w:rsidRPr="00A44768">
        <w:rPr>
          <w:rFonts w:asciiTheme="minorHAnsi" w:hAnsiTheme="minorHAnsi" w:cstheme="minorHAnsi"/>
          <w:bCs/>
          <w:i/>
          <w:sz w:val="22"/>
          <w:szCs w:val="22"/>
        </w:rPr>
        <w:t xml:space="preserve"> de la loi du 3 janvier 1977 susvisée peuvent exercer les fonctions d'architecte.».</w:t>
      </w:r>
    </w:p>
    <w:p w14:paraId="5FC24681" w14:textId="77777777" w:rsidR="00A44768" w:rsidRPr="00A44768" w:rsidRDefault="00A44768" w:rsidP="00A44768">
      <w:pPr>
        <w:jc w:val="both"/>
        <w:rPr>
          <w:rFonts w:asciiTheme="minorHAnsi" w:hAnsiTheme="minorHAnsi" w:cstheme="minorHAnsi"/>
          <w:bCs/>
          <w:i/>
          <w:sz w:val="22"/>
          <w:szCs w:val="22"/>
        </w:rPr>
      </w:pPr>
    </w:p>
    <w:p w14:paraId="3B17A745" w14:textId="77777777" w:rsidR="00A44768" w:rsidRPr="00A44768" w:rsidRDefault="00A44768" w:rsidP="00A44768">
      <w:pPr>
        <w:jc w:val="both"/>
        <w:rPr>
          <w:rFonts w:asciiTheme="minorHAnsi" w:hAnsiTheme="minorHAnsi" w:cstheme="minorHAnsi"/>
          <w:bCs/>
          <w:i/>
          <w:sz w:val="22"/>
          <w:szCs w:val="22"/>
        </w:rPr>
      </w:pPr>
      <w:r w:rsidRPr="00A44768">
        <w:rPr>
          <w:rFonts w:asciiTheme="minorHAnsi" w:hAnsiTheme="minorHAnsi" w:cstheme="minorHAnsi"/>
          <w:b/>
          <w:i/>
          <w:sz w:val="22"/>
          <w:szCs w:val="22"/>
          <w:u w:val="single"/>
        </w:rPr>
        <w:t>Article 3</w:t>
      </w:r>
      <w:r w:rsidRPr="00A44768">
        <w:rPr>
          <w:rFonts w:asciiTheme="minorHAnsi" w:hAnsiTheme="minorHAnsi" w:cstheme="minorHAnsi"/>
          <w:bCs/>
          <w:i/>
          <w:sz w:val="22"/>
          <w:szCs w:val="22"/>
        </w:rPr>
        <w:t xml:space="preserve"> « Les fonctionnaires ayant le grade d'ingénieur peuvent exercer leurs fonctions dans les régions, les départements, les communes, les offices publics de l'habitat, les laboratoires d'analyses et tout autre établissement public relevant de ces collectivités. Ils peuvent également occuper les emplois de directeur des services techniques des communes et de directeur général des services techniques des établissements publics de coopération intercommunale à fiscalité propre de 10 000 à 40 000 habitants. En outre, ils peuvent occuper les emplois administratifs de direction des collectivités territoriales et des établissements publics locaux assimilés en application des dispositions du </w:t>
      </w:r>
      <w:hyperlink r:id="rId13" w:history="1">
        <w:r w:rsidRPr="00A44768">
          <w:rPr>
            <w:rStyle w:val="Lienhypertexte"/>
            <w:rFonts w:asciiTheme="minorHAnsi" w:hAnsiTheme="minorHAnsi" w:cstheme="minorHAnsi"/>
            <w:bCs/>
            <w:i/>
            <w:color w:val="auto"/>
            <w:sz w:val="22"/>
            <w:szCs w:val="22"/>
            <w:u w:val="none"/>
          </w:rPr>
          <w:t>décret du 30 décembre 1987 susvisé</w:t>
        </w:r>
      </w:hyperlink>
      <w:r w:rsidRPr="00A44768">
        <w:rPr>
          <w:rFonts w:asciiTheme="minorHAnsi" w:hAnsiTheme="minorHAnsi" w:cstheme="minorHAnsi"/>
          <w:bCs/>
          <w:i/>
          <w:sz w:val="22"/>
          <w:szCs w:val="22"/>
        </w:rPr>
        <w:t>.».</w:t>
      </w:r>
    </w:p>
    <w:p w14:paraId="36C7D933" w14:textId="77777777" w:rsidR="00C62A20" w:rsidRDefault="00C62A20" w:rsidP="00D47E9B">
      <w:pPr>
        <w:rPr>
          <w:rFonts w:ascii="Arial" w:hAnsi="Arial" w:cs="Arial"/>
          <w:color w:val="000000"/>
        </w:rPr>
        <w:sectPr w:rsidR="00C62A20" w:rsidSect="003236AA">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3A258B">
        <w:trPr>
          <w:trHeight w:val="850"/>
        </w:trPr>
        <w:tc>
          <w:tcPr>
            <w:tcW w:w="10255" w:type="dxa"/>
            <w:gridSpan w:val="2"/>
            <w:shd w:val="clear" w:color="auto" w:fill="384B8F"/>
            <w:noWrap/>
            <w:tcMar>
              <w:top w:w="15" w:type="dxa"/>
              <w:left w:w="15" w:type="dxa"/>
              <w:bottom w:w="0" w:type="dxa"/>
              <w:right w:w="15" w:type="dxa"/>
            </w:tcMar>
            <w:vAlign w:val="center"/>
          </w:tcPr>
          <w:p w14:paraId="46879282" w14:textId="79C652DE" w:rsidR="0062294E" w:rsidRPr="00E94F84"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BDAEB47" w14:textId="1FF2317E" w:rsidR="00D47E9B" w:rsidRPr="00A44768" w:rsidRDefault="00A44768" w:rsidP="00E114CC">
            <w:pPr>
              <w:jc w:val="center"/>
              <w:rPr>
                <w:rFonts w:ascii="Calibri" w:hAnsi="Calibri" w:cs="Calibri"/>
                <w:color w:val="FFFFFF" w:themeColor="background1"/>
                <w:sz w:val="22"/>
                <w:szCs w:val="22"/>
              </w:rPr>
            </w:pPr>
            <w:r w:rsidRPr="00A44768">
              <w:rPr>
                <w:rFonts w:ascii="Calibri" w:hAnsi="Calibri" w:cs="Calibri"/>
                <w:color w:val="FFFFFF" w:themeColor="background1"/>
                <w:sz w:val="22"/>
                <w:szCs w:val="22"/>
              </w:rPr>
              <w:t>Les membres du cadre d’emplois exercent leurs fonctions sous l’autorité d’un fonctionnaire chargé de la responsabilité des services techniques dans la collectivité</w:t>
            </w:r>
          </w:p>
        </w:tc>
      </w:tr>
      <w:tr w:rsidR="002B611A" w:rsidRPr="007E0D08" w14:paraId="42CF0031" w14:textId="77777777" w:rsidTr="003A258B">
        <w:trPr>
          <w:trHeight w:val="680"/>
        </w:trPr>
        <w:tc>
          <w:tcPr>
            <w:tcW w:w="10255" w:type="dxa"/>
            <w:gridSpan w:val="2"/>
            <w:shd w:val="clear" w:color="auto" w:fill="auto"/>
            <w:noWrap/>
            <w:tcMar>
              <w:top w:w="15" w:type="dxa"/>
              <w:left w:w="15" w:type="dxa"/>
              <w:bottom w:w="0" w:type="dxa"/>
              <w:right w:w="15" w:type="dxa"/>
            </w:tcMar>
            <w:vAlign w:val="center"/>
          </w:tcPr>
          <w:p w14:paraId="3227FAD8" w14:textId="32EB16DB"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w:t>
            </w:r>
            <w:r w:rsidR="00A44768">
              <w:rPr>
                <w:rFonts w:ascii="Calibri" w:hAnsi="Calibri" w:cs="Calibri"/>
                <w:b/>
                <w:sz w:val="22"/>
                <w:szCs w:val="22"/>
              </w:rPr>
              <w:t>ingénieur</w:t>
            </w:r>
            <w:r w:rsidR="0062294E">
              <w:rPr>
                <w:rFonts w:ascii="Calibri" w:hAnsi="Calibri" w:cs="Calibri"/>
                <w:b/>
                <w:sz w:val="22"/>
                <w:szCs w:val="22"/>
              </w:rPr>
              <w:t> :</w:t>
            </w:r>
          </w:p>
        </w:tc>
      </w:tr>
      <w:tr w:rsidR="00D47E9B" w:rsidRPr="007E0D08" w14:paraId="7603BB9E" w14:textId="77777777" w:rsidTr="003119DC">
        <w:trPr>
          <w:trHeight w:hRule="exact" w:val="5216"/>
        </w:trPr>
        <w:tc>
          <w:tcPr>
            <w:tcW w:w="3256" w:type="dxa"/>
            <w:shd w:val="clear" w:color="auto" w:fill="auto"/>
            <w:noWrap/>
            <w:tcMar>
              <w:top w:w="15" w:type="dxa"/>
              <w:left w:w="15" w:type="dxa"/>
              <w:bottom w:w="0" w:type="dxa"/>
              <w:right w:w="15" w:type="dxa"/>
            </w:tcMar>
            <w:vAlign w:val="center"/>
          </w:tcPr>
          <w:p w14:paraId="2BE77355" w14:textId="388E1F40" w:rsidR="00A44768" w:rsidRDefault="00A44768" w:rsidP="008F2C84">
            <w:pPr>
              <w:spacing w:line="276" w:lineRule="auto"/>
              <w:rPr>
                <w:rFonts w:ascii="Calibri" w:hAnsi="Calibri" w:cs="Calibri"/>
                <w:iCs/>
                <w:sz w:val="22"/>
                <w:szCs w:val="22"/>
              </w:rPr>
            </w:pPr>
            <w:r w:rsidRPr="00A44768">
              <w:rPr>
                <w:rFonts w:ascii="Calibri" w:hAnsi="Calibri" w:cs="Calibri"/>
                <w:iCs/>
                <w:sz w:val="22"/>
                <w:szCs w:val="22"/>
              </w:rPr>
              <w:t>Fonctions dans les domaines à caractère scientifique et technique</w:t>
            </w:r>
          </w:p>
          <w:p w14:paraId="3F51B942" w14:textId="77777777" w:rsidR="00A44768" w:rsidRPr="00A44768" w:rsidRDefault="00A44768" w:rsidP="008F2C84">
            <w:pPr>
              <w:spacing w:line="276" w:lineRule="auto"/>
              <w:rPr>
                <w:rFonts w:ascii="Calibri" w:hAnsi="Calibri" w:cs="Calibri"/>
                <w:iCs/>
                <w:sz w:val="22"/>
                <w:szCs w:val="22"/>
              </w:rPr>
            </w:pPr>
          </w:p>
          <w:p w14:paraId="512CBBBB" w14:textId="562D029F" w:rsidR="00D47E9B" w:rsidRPr="00AF4AE4" w:rsidRDefault="00A44768" w:rsidP="008F2C84">
            <w:pPr>
              <w:spacing w:line="276" w:lineRule="auto"/>
              <w:rPr>
                <w:rFonts w:ascii="Arial" w:hAnsi="Arial" w:cs="Arial"/>
                <w:iCs/>
              </w:rPr>
            </w:pPr>
            <w:r w:rsidRPr="00A44768">
              <w:rPr>
                <w:rFonts w:ascii="Calibri" w:hAnsi="Calibri" w:cs="Calibri"/>
                <w:iCs/>
                <w:sz w:val="22"/>
                <w:szCs w:val="22"/>
              </w:rPr>
              <w:t>(</w:t>
            </w:r>
            <w:r w:rsidRPr="008F2C84">
              <w:rPr>
                <w:rFonts w:ascii="Calibri" w:hAnsi="Calibri" w:cs="Calibri"/>
                <w:sz w:val="22"/>
                <w:szCs w:val="22"/>
              </w:rPr>
              <w:t>Ingénierie, gestion technique, infrastructures, réseaux, prévention, gestion des risques, urbanisme, aménagement, paysages, informatique et systèmes d'information)</w:t>
            </w:r>
          </w:p>
        </w:tc>
        <w:tc>
          <w:tcPr>
            <w:tcW w:w="6999" w:type="dxa"/>
            <w:shd w:val="clear" w:color="auto" w:fill="auto"/>
            <w:noWrap/>
            <w:tcMar>
              <w:top w:w="15" w:type="dxa"/>
              <w:left w:w="15" w:type="dxa"/>
              <w:bottom w:w="0" w:type="dxa"/>
              <w:right w:w="15" w:type="dxa"/>
            </w:tcMar>
          </w:tcPr>
          <w:p w14:paraId="7C218C78" w14:textId="6ECB563A" w:rsidR="00893533" w:rsidRPr="00893533" w:rsidRDefault="003641E7"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7E0D08" w:rsidRDefault="00D47E9B" w:rsidP="00893533">
            <w:pPr>
              <w:rPr>
                <w:rFonts w:ascii="Arial" w:hAnsi="Arial" w:cs="Arial"/>
              </w:rPr>
            </w:pPr>
          </w:p>
        </w:tc>
      </w:tr>
      <w:tr w:rsidR="003B4142" w:rsidRPr="007E0D08" w14:paraId="1925F4E7" w14:textId="77777777" w:rsidTr="003119DC">
        <w:trPr>
          <w:trHeight w:hRule="exact" w:val="3855"/>
        </w:trPr>
        <w:tc>
          <w:tcPr>
            <w:tcW w:w="3256" w:type="dxa"/>
            <w:shd w:val="clear" w:color="auto" w:fill="auto"/>
            <w:noWrap/>
            <w:tcMar>
              <w:top w:w="15" w:type="dxa"/>
              <w:left w:w="15" w:type="dxa"/>
              <w:bottom w:w="0" w:type="dxa"/>
              <w:right w:w="15" w:type="dxa"/>
            </w:tcMar>
            <w:vAlign w:val="center"/>
          </w:tcPr>
          <w:p w14:paraId="5718E13D" w14:textId="3D3CFF1B" w:rsidR="00A44768" w:rsidRPr="008F2C84" w:rsidRDefault="00A44768" w:rsidP="008F2C84">
            <w:pPr>
              <w:spacing w:line="276" w:lineRule="auto"/>
              <w:rPr>
                <w:rFonts w:asciiTheme="minorHAnsi" w:hAnsiTheme="minorHAnsi" w:cstheme="minorHAnsi"/>
                <w:color w:val="000000"/>
                <w:sz w:val="22"/>
                <w:szCs w:val="22"/>
              </w:rPr>
            </w:pPr>
            <w:r w:rsidRPr="008F2C84">
              <w:rPr>
                <w:rFonts w:asciiTheme="minorHAnsi" w:hAnsiTheme="minorHAnsi" w:cstheme="minorHAnsi"/>
                <w:color w:val="000000"/>
                <w:sz w:val="22"/>
                <w:szCs w:val="22"/>
              </w:rPr>
              <w:lastRenderedPageBreak/>
              <w:t>Fonctions d’architecte</w:t>
            </w:r>
          </w:p>
          <w:p w14:paraId="68137863" w14:textId="77777777" w:rsidR="00A44768" w:rsidRPr="008F2C84" w:rsidRDefault="00A44768" w:rsidP="008F2C84">
            <w:pPr>
              <w:spacing w:line="276" w:lineRule="auto"/>
              <w:rPr>
                <w:rFonts w:asciiTheme="minorHAnsi" w:hAnsiTheme="minorHAnsi" w:cstheme="minorHAnsi"/>
                <w:color w:val="000000"/>
                <w:sz w:val="22"/>
                <w:szCs w:val="22"/>
              </w:rPr>
            </w:pPr>
          </w:p>
          <w:p w14:paraId="79FBBDE3" w14:textId="3137A2F0" w:rsidR="003B4142" w:rsidRPr="003B4142" w:rsidRDefault="00A44768" w:rsidP="008F2C84">
            <w:pPr>
              <w:spacing w:line="276" w:lineRule="auto"/>
              <w:rPr>
                <w:rFonts w:asciiTheme="minorHAnsi" w:hAnsiTheme="minorHAnsi" w:cstheme="minorHAnsi"/>
                <w:color w:val="000000"/>
              </w:rPr>
            </w:pPr>
            <w:r w:rsidRPr="008F2C84">
              <w:rPr>
                <w:rFonts w:asciiTheme="minorHAnsi" w:hAnsiTheme="minorHAnsi" w:cstheme="minorHAnsi"/>
                <w:color w:val="000000"/>
                <w:sz w:val="22"/>
                <w:szCs w:val="22"/>
              </w:rPr>
              <w:t>(Fonctionnaires répondant aux conditions des articles 10 ou 37 de la loi du 3 janvier 1977)</w:t>
            </w:r>
          </w:p>
        </w:tc>
        <w:tc>
          <w:tcPr>
            <w:tcW w:w="6999" w:type="dxa"/>
            <w:shd w:val="clear" w:color="auto" w:fill="auto"/>
            <w:noWrap/>
            <w:tcMar>
              <w:top w:w="15" w:type="dxa"/>
              <w:left w:w="15" w:type="dxa"/>
              <w:bottom w:w="0" w:type="dxa"/>
              <w:right w:w="15" w:type="dxa"/>
            </w:tcMar>
          </w:tcPr>
          <w:p w14:paraId="3E522FB2" w14:textId="107B493F" w:rsidR="003B4142" w:rsidRDefault="003641E7"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3119DC">
        <w:trPr>
          <w:trHeight w:hRule="exact" w:val="3855"/>
        </w:trPr>
        <w:tc>
          <w:tcPr>
            <w:tcW w:w="3256" w:type="dxa"/>
            <w:shd w:val="clear" w:color="auto" w:fill="auto"/>
            <w:noWrap/>
            <w:tcMar>
              <w:top w:w="15" w:type="dxa"/>
              <w:left w:w="15" w:type="dxa"/>
              <w:bottom w:w="0" w:type="dxa"/>
              <w:right w:w="15" w:type="dxa"/>
            </w:tcMar>
            <w:vAlign w:val="center"/>
          </w:tcPr>
          <w:p w14:paraId="050897DE" w14:textId="6009AFB8" w:rsidR="00A44768" w:rsidRPr="00A44768" w:rsidRDefault="00A44768" w:rsidP="008F2C84">
            <w:pPr>
              <w:spacing w:line="276" w:lineRule="auto"/>
              <w:rPr>
                <w:rFonts w:asciiTheme="minorHAnsi" w:hAnsiTheme="minorHAnsi" w:cstheme="minorHAnsi"/>
                <w:color w:val="000000"/>
                <w:sz w:val="22"/>
                <w:szCs w:val="22"/>
              </w:rPr>
            </w:pPr>
            <w:r w:rsidRPr="00A44768">
              <w:rPr>
                <w:rFonts w:asciiTheme="minorHAnsi" w:hAnsiTheme="minorHAnsi" w:cstheme="minorHAnsi"/>
                <w:color w:val="000000"/>
                <w:sz w:val="22"/>
                <w:szCs w:val="22"/>
              </w:rPr>
              <w:t>Gestion d'un service technique, d'une partie du service d'une section à laquelle sont confiées les attributions relevant de plusieurs services techniques.</w:t>
            </w:r>
          </w:p>
          <w:p w14:paraId="35B6DA2B" w14:textId="77777777" w:rsidR="00A44768" w:rsidRPr="00A44768" w:rsidRDefault="00A44768" w:rsidP="008F2C84">
            <w:pPr>
              <w:spacing w:line="276" w:lineRule="auto"/>
              <w:rPr>
                <w:rFonts w:asciiTheme="minorHAnsi" w:hAnsiTheme="minorHAnsi" w:cstheme="minorHAnsi"/>
                <w:color w:val="000000"/>
                <w:sz w:val="22"/>
                <w:szCs w:val="22"/>
              </w:rPr>
            </w:pPr>
          </w:p>
          <w:p w14:paraId="49B3CDF6" w14:textId="42DC7824" w:rsidR="003B4142" w:rsidRPr="003B4142" w:rsidRDefault="00A44768" w:rsidP="008F2C84">
            <w:pPr>
              <w:spacing w:line="276" w:lineRule="auto"/>
              <w:rPr>
                <w:rFonts w:asciiTheme="minorHAnsi" w:hAnsiTheme="minorHAnsi" w:cstheme="minorHAnsi"/>
                <w:color w:val="000000"/>
                <w:sz w:val="22"/>
                <w:szCs w:val="22"/>
              </w:rPr>
            </w:pPr>
            <w:r w:rsidRPr="00A44768">
              <w:rPr>
                <w:rFonts w:asciiTheme="minorHAnsi" w:hAnsiTheme="minorHAnsi" w:cstheme="minorHAnsi"/>
                <w:color w:val="000000"/>
                <w:sz w:val="22"/>
                <w:szCs w:val="22"/>
              </w:rPr>
              <w:t>Préciser le nombre et la qualité des agents encadrés</w:t>
            </w:r>
          </w:p>
        </w:tc>
        <w:tc>
          <w:tcPr>
            <w:tcW w:w="6999" w:type="dxa"/>
            <w:shd w:val="clear" w:color="auto" w:fill="auto"/>
            <w:noWrap/>
            <w:tcMar>
              <w:top w:w="15" w:type="dxa"/>
              <w:left w:w="15" w:type="dxa"/>
              <w:bottom w:w="0" w:type="dxa"/>
              <w:right w:w="15" w:type="dxa"/>
            </w:tcMar>
          </w:tcPr>
          <w:p w14:paraId="2F3E5FA4" w14:textId="1305BA01" w:rsidR="003B4142" w:rsidRDefault="003641E7"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3119DC">
        <w:trPr>
          <w:trHeight w:hRule="exact" w:val="3855"/>
        </w:trPr>
        <w:tc>
          <w:tcPr>
            <w:tcW w:w="3256" w:type="dxa"/>
            <w:shd w:val="clear" w:color="auto" w:fill="auto"/>
            <w:noWrap/>
            <w:tcMar>
              <w:top w:w="15" w:type="dxa"/>
              <w:left w:w="15" w:type="dxa"/>
              <w:bottom w:w="0" w:type="dxa"/>
              <w:right w:w="15" w:type="dxa"/>
            </w:tcMar>
            <w:vAlign w:val="center"/>
          </w:tcPr>
          <w:p w14:paraId="5B212790" w14:textId="77777777" w:rsidR="00A44768" w:rsidRPr="00A44768" w:rsidRDefault="00A44768" w:rsidP="008F2C84">
            <w:pPr>
              <w:spacing w:line="276" w:lineRule="auto"/>
              <w:rPr>
                <w:rFonts w:asciiTheme="minorHAnsi" w:hAnsiTheme="minorHAnsi" w:cstheme="minorHAnsi"/>
                <w:color w:val="000000"/>
                <w:sz w:val="22"/>
                <w:szCs w:val="22"/>
              </w:rPr>
            </w:pPr>
            <w:r w:rsidRPr="00A44768">
              <w:rPr>
                <w:rFonts w:asciiTheme="minorHAnsi" w:hAnsiTheme="minorHAnsi" w:cstheme="minorHAnsi"/>
                <w:color w:val="000000"/>
                <w:sz w:val="22"/>
                <w:szCs w:val="22"/>
              </w:rPr>
              <w:t xml:space="preserve">Nomination sur un emploi </w:t>
            </w:r>
          </w:p>
          <w:p w14:paraId="21F7A6A4" w14:textId="77777777" w:rsidR="00A44768" w:rsidRPr="00A44768" w:rsidRDefault="00A44768" w:rsidP="008F2C84">
            <w:pPr>
              <w:spacing w:line="276" w:lineRule="auto"/>
              <w:rPr>
                <w:rFonts w:asciiTheme="minorHAnsi" w:hAnsiTheme="minorHAnsi" w:cstheme="minorHAnsi"/>
                <w:color w:val="000000"/>
                <w:sz w:val="22"/>
                <w:szCs w:val="22"/>
              </w:rPr>
            </w:pPr>
            <w:proofErr w:type="gramStart"/>
            <w:r w:rsidRPr="00A44768">
              <w:rPr>
                <w:rFonts w:asciiTheme="minorHAnsi" w:hAnsiTheme="minorHAnsi" w:cstheme="minorHAnsi"/>
                <w:color w:val="000000"/>
                <w:sz w:val="22"/>
                <w:szCs w:val="22"/>
              </w:rPr>
              <w:t>de</w:t>
            </w:r>
            <w:proofErr w:type="gramEnd"/>
            <w:r w:rsidRPr="00A44768">
              <w:rPr>
                <w:rFonts w:asciiTheme="minorHAnsi" w:hAnsiTheme="minorHAnsi" w:cstheme="minorHAnsi"/>
                <w:color w:val="000000"/>
                <w:sz w:val="22"/>
                <w:szCs w:val="22"/>
              </w:rPr>
              <w:t xml:space="preserve"> direction</w:t>
            </w:r>
          </w:p>
          <w:p w14:paraId="34C0A790" w14:textId="77777777" w:rsidR="00A44768" w:rsidRPr="00A44768" w:rsidRDefault="00A44768" w:rsidP="008F2C84">
            <w:pPr>
              <w:spacing w:line="276" w:lineRule="auto"/>
              <w:rPr>
                <w:rFonts w:asciiTheme="minorHAnsi" w:hAnsiTheme="minorHAnsi" w:cstheme="minorHAnsi"/>
                <w:color w:val="000000"/>
                <w:sz w:val="22"/>
                <w:szCs w:val="22"/>
              </w:rPr>
            </w:pPr>
          </w:p>
          <w:p w14:paraId="1DEA0110" w14:textId="5DE90BD0" w:rsidR="003B4142" w:rsidRPr="00A44768" w:rsidRDefault="00A44768" w:rsidP="008F2C84">
            <w:pPr>
              <w:spacing w:line="276" w:lineRule="auto"/>
              <w:rPr>
                <w:rFonts w:asciiTheme="minorHAnsi" w:hAnsiTheme="minorHAnsi" w:cstheme="minorHAnsi"/>
                <w:bCs/>
                <w:i/>
                <w:iCs/>
                <w:color w:val="000000"/>
                <w:sz w:val="22"/>
                <w:szCs w:val="22"/>
              </w:rPr>
            </w:pPr>
            <w:r w:rsidRPr="00A44768">
              <w:rPr>
                <w:rFonts w:asciiTheme="minorHAnsi" w:hAnsiTheme="minorHAnsi" w:cstheme="minorHAnsi"/>
                <w:bCs/>
                <w:i/>
                <w:iCs/>
                <w:color w:val="000000"/>
                <w:sz w:val="22"/>
                <w:szCs w:val="22"/>
              </w:rPr>
              <w:t>Le cas échéant, préciser l’intitulé de l’emploi fonctionnel envisagé</w:t>
            </w:r>
          </w:p>
        </w:tc>
        <w:tc>
          <w:tcPr>
            <w:tcW w:w="6999" w:type="dxa"/>
            <w:shd w:val="clear" w:color="auto" w:fill="auto"/>
            <w:noWrap/>
            <w:tcMar>
              <w:top w:w="15" w:type="dxa"/>
              <w:left w:w="15" w:type="dxa"/>
              <w:bottom w:w="0" w:type="dxa"/>
              <w:right w:w="15" w:type="dxa"/>
            </w:tcMar>
          </w:tcPr>
          <w:p w14:paraId="4D4E0942" w14:textId="68EE4B5B" w:rsidR="003B4142" w:rsidRDefault="003641E7"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bl>
    <w:p w14:paraId="2DBF4FEE" w14:textId="748FB2FA" w:rsidR="00D47E9B" w:rsidRPr="003119DC" w:rsidRDefault="00D47E9B" w:rsidP="00D47E9B">
      <w:pPr>
        <w:tabs>
          <w:tab w:val="left" w:pos="4536"/>
        </w:tabs>
        <w:spacing w:after="60"/>
        <w:rPr>
          <w:rFonts w:asciiTheme="minorHAnsi" w:hAnsiTheme="minorHAnsi" w:cstheme="minorHAnsi"/>
          <w:sz w:val="18"/>
          <w:szCs w:val="18"/>
        </w:rPr>
      </w:pPr>
    </w:p>
    <w:p w14:paraId="1AB10F15" w14:textId="574318F4" w:rsidR="00C62A20" w:rsidRPr="007946B4" w:rsidRDefault="00C62A20" w:rsidP="00D47E9B">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 xml:space="preserve">Fait à </w:t>
      </w:r>
      <w:r w:rsidR="003119DC">
        <w:rPr>
          <w:rFonts w:ascii="Calibri" w:hAnsi="Calibri" w:cstheme="minorHAnsi"/>
          <w:sz w:val="22"/>
          <w:szCs w:val="22"/>
        </w:rPr>
        <w:fldChar w:fldCharType="begin">
          <w:ffData>
            <w:name w:val="Texte5"/>
            <w:enabled/>
            <w:calcOnExit w:val="0"/>
            <w:textInput>
              <w:maxLength w:val="50"/>
            </w:textInput>
          </w:ffData>
        </w:fldChar>
      </w:r>
      <w:bookmarkStart w:id="4" w:name="Texte5"/>
      <w:r w:rsidR="003119DC">
        <w:rPr>
          <w:rFonts w:ascii="Calibri" w:hAnsi="Calibri" w:cstheme="minorHAnsi"/>
          <w:sz w:val="22"/>
          <w:szCs w:val="22"/>
        </w:rPr>
        <w:instrText xml:space="preserve"> FORMTEXT </w:instrText>
      </w:r>
      <w:r w:rsidR="003119DC">
        <w:rPr>
          <w:rFonts w:ascii="Calibri" w:hAnsi="Calibri" w:cstheme="minorHAnsi"/>
          <w:sz w:val="22"/>
          <w:szCs w:val="22"/>
        </w:rPr>
      </w:r>
      <w:r w:rsidR="003119DC">
        <w:rPr>
          <w:rFonts w:ascii="Calibri" w:hAnsi="Calibri" w:cstheme="minorHAnsi"/>
          <w:sz w:val="22"/>
          <w:szCs w:val="22"/>
        </w:rPr>
        <w:fldChar w:fldCharType="separate"/>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sz w:val="22"/>
          <w:szCs w:val="22"/>
        </w:rPr>
        <w:fldChar w:fldCharType="end"/>
      </w:r>
      <w:bookmarkEnd w:id="4"/>
      <w:r w:rsidR="007946B4" w:rsidRPr="007946B4">
        <w:rPr>
          <w:rFonts w:asciiTheme="minorHAnsi" w:hAnsiTheme="minorHAnsi" w:cstheme="minorHAnsi"/>
          <w:sz w:val="22"/>
          <w:szCs w:val="22"/>
        </w:rPr>
        <w:t xml:space="preserve">  </w:t>
      </w:r>
      <w:r w:rsidR="003B4142" w:rsidRPr="007946B4">
        <w:rPr>
          <w:rFonts w:asciiTheme="minorHAnsi" w:hAnsiTheme="minorHAnsi" w:cstheme="minorHAnsi"/>
          <w:sz w:val="22"/>
          <w:szCs w:val="22"/>
        </w:rPr>
        <w:t xml:space="preserve">Le </w:t>
      </w:r>
      <w:r w:rsidR="003119DC">
        <w:rPr>
          <w:rFonts w:ascii="Calibri" w:hAnsi="Calibri" w:cstheme="minorHAnsi"/>
          <w:sz w:val="22"/>
          <w:szCs w:val="22"/>
        </w:rPr>
        <w:fldChar w:fldCharType="begin">
          <w:ffData>
            <w:name w:val="Texte6"/>
            <w:enabled/>
            <w:calcOnExit w:val="0"/>
            <w:textInput>
              <w:maxLength w:val="30"/>
            </w:textInput>
          </w:ffData>
        </w:fldChar>
      </w:r>
      <w:bookmarkStart w:id="5" w:name="Texte6"/>
      <w:r w:rsidR="003119DC">
        <w:rPr>
          <w:rFonts w:ascii="Calibri" w:hAnsi="Calibri" w:cstheme="minorHAnsi"/>
          <w:sz w:val="22"/>
          <w:szCs w:val="22"/>
        </w:rPr>
        <w:instrText xml:space="preserve"> FORMTEXT </w:instrText>
      </w:r>
      <w:r w:rsidR="003119DC">
        <w:rPr>
          <w:rFonts w:ascii="Calibri" w:hAnsi="Calibri" w:cstheme="minorHAnsi"/>
          <w:sz w:val="22"/>
          <w:szCs w:val="22"/>
        </w:rPr>
      </w:r>
      <w:r w:rsidR="003119DC">
        <w:rPr>
          <w:rFonts w:ascii="Calibri" w:hAnsi="Calibri" w:cstheme="minorHAnsi"/>
          <w:sz w:val="22"/>
          <w:szCs w:val="22"/>
        </w:rPr>
        <w:fldChar w:fldCharType="separate"/>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sz w:val="22"/>
          <w:szCs w:val="22"/>
        </w:rPr>
        <w:fldChar w:fldCharType="end"/>
      </w:r>
      <w:bookmarkEnd w:id="5"/>
    </w:p>
    <w:p w14:paraId="449127EB" w14:textId="27B12361" w:rsidR="00D47E9B" w:rsidRPr="003119DC" w:rsidRDefault="00D47E9B" w:rsidP="00D47E9B">
      <w:pPr>
        <w:tabs>
          <w:tab w:val="left" w:pos="4536"/>
        </w:tabs>
        <w:spacing w:after="60"/>
        <w:rPr>
          <w:rFonts w:asciiTheme="minorHAnsi" w:hAnsiTheme="minorHAnsi" w:cstheme="minorHAnsi"/>
          <w:sz w:val="18"/>
          <w:szCs w:val="18"/>
        </w:rPr>
      </w:pPr>
    </w:p>
    <w:p w14:paraId="3E176634" w14:textId="5B79970F" w:rsidR="00C62A20" w:rsidRPr="007946B4" w:rsidRDefault="00C62A20" w:rsidP="00D47E9B">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Nom prénom</w:t>
      </w:r>
      <w:r w:rsidR="007946B4">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C406FF">
        <w:rPr>
          <w:rFonts w:ascii="Calibri" w:hAnsi="Calibri" w:cstheme="minorHAnsi"/>
          <w:sz w:val="22"/>
          <w:szCs w:val="22"/>
        </w:rPr>
        <w:fldChar w:fldCharType="begin">
          <w:ffData>
            <w:name w:val="Texte7"/>
            <w:enabled/>
            <w:calcOnExit w:val="0"/>
            <w:textInput>
              <w:maxLength w:val="60"/>
            </w:textInput>
          </w:ffData>
        </w:fldChar>
      </w:r>
      <w:bookmarkStart w:id="6" w:name="Texte7"/>
      <w:r w:rsidR="00C406FF">
        <w:rPr>
          <w:rFonts w:ascii="Calibri" w:hAnsi="Calibri" w:cstheme="minorHAnsi"/>
          <w:sz w:val="22"/>
          <w:szCs w:val="22"/>
        </w:rPr>
        <w:instrText xml:space="preserve"> FORMTEXT </w:instrText>
      </w:r>
      <w:r w:rsidR="00C406FF">
        <w:rPr>
          <w:rFonts w:ascii="Calibri" w:hAnsi="Calibri" w:cstheme="minorHAnsi"/>
          <w:sz w:val="22"/>
          <w:szCs w:val="22"/>
        </w:rPr>
      </w:r>
      <w:r w:rsidR="00C406FF">
        <w:rPr>
          <w:rFonts w:ascii="Calibri" w:hAnsi="Calibri" w:cstheme="minorHAnsi"/>
          <w:sz w:val="22"/>
          <w:szCs w:val="22"/>
        </w:rPr>
        <w:fldChar w:fldCharType="separate"/>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sz w:val="22"/>
          <w:szCs w:val="22"/>
        </w:rPr>
        <w:fldChar w:fldCharType="end"/>
      </w:r>
      <w:bookmarkEnd w:id="6"/>
    </w:p>
    <w:p w14:paraId="49DC33EC" w14:textId="2129070F" w:rsidR="007946B4" w:rsidRPr="003119DC" w:rsidRDefault="007946B4" w:rsidP="007946B4">
      <w:pPr>
        <w:jc w:val="both"/>
        <w:rPr>
          <w:rFonts w:asciiTheme="minorHAnsi" w:hAnsiTheme="minorHAnsi" w:cstheme="minorHAnsi"/>
          <w:sz w:val="18"/>
          <w:szCs w:val="18"/>
        </w:rPr>
      </w:pPr>
    </w:p>
    <w:p w14:paraId="1F1BFA8C" w14:textId="69EAA374" w:rsidR="00547D04" w:rsidRDefault="00C62A20" w:rsidP="007946B4">
      <w:pPr>
        <w:tabs>
          <w:tab w:val="left" w:pos="4536"/>
        </w:tabs>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698D7992" w14:textId="359F0A4E" w:rsidR="00DF16C4" w:rsidRDefault="003119DC"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5F25B503" wp14:editId="1F4F505B">
                <wp:simplePos x="0" y="0"/>
                <wp:positionH relativeFrom="column">
                  <wp:posOffset>0</wp:posOffset>
                </wp:positionH>
                <wp:positionV relativeFrom="paragraph">
                  <wp:posOffset>137795</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386810F5" w14:textId="4D8BD4B2" w:rsidR="00DF16C4" w:rsidRDefault="00DF16C4" w:rsidP="00DF16C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985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0B5F4B31" w14:textId="71B1FA04" w:rsidR="00DF16C4" w:rsidRPr="00FE2D06" w:rsidRDefault="00DF16C4" w:rsidP="00DF16C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85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D45584" w14:textId="77777777" w:rsidR="00DF16C4" w:rsidRDefault="00DF16C4" w:rsidP="00DF16C4">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29E18411" w14:textId="77777777" w:rsidR="00DF16C4" w:rsidRPr="00FE2D06" w:rsidRDefault="00DF16C4" w:rsidP="00DF16C4">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B503" id="_x0000_t202" coordsize="21600,21600" o:spt="202" path="m,l,21600r21600,l21600,xe">
                <v:stroke joinstyle="miter"/>
                <v:path gradientshapeok="t" o:connecttype="rect"/>
              </v:shapetype>
              <v:shape id="Zone de texte 1" o:spid="_x0000_s1026" type="#_x0000_t202" style="position:absolute;left:0;text-align:left;margin-left:0;margin-top:10.85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" fillcolor="window" strokecolor="#ff8967" strokeweight="1pt">
                <v:textbox>
                  <w:txbxContent>
                    <w:p w14:paraId="386810F5" w14:textId="4D8BD4B2" w:rsidR="00DF16C4" w:rsidRDefault="00DF16C4" w:rsidP="00DF16C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985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0B5F4B31" w14:textId="71B1FA04" w:rsidR="00DF16C4" w:rsidRPr="00FE2D06" w:rsidRDefault="00DF16C4" w:rsidP="00DF16C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85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D45584" w14:textId="77777777" w:rsidR="00DF16C4" w:rsidRDefault="00DF16C4" w:rsidP="00DF16C4">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29E18411" w14:textId="77777777" w:rsidR="00DF16C4" w:rsidRPr="00FE2D06" w:rsidRDefault="00DF16C4" w:rsidP="00DF16C4">
                      <w:pPr>
                        <w:spacing w:before="60" w:line="276" w:lineRule="auto"/>
                        <w:jc w:val="center"/>
                        <w:rPr>
                          <w:rFonts w:ascii="Calibri" w:hAnsi="Calibri" w:cs="Calibri"/>
                          <w:b/>
                          <w:bCs/>
                          <w:color w:val="FF8967"/>
                          <w:sz w:val="24"/>
                          <w:szCs w:val="28"/>
                        </w:rPr>
                      </w:pPr>
                    </w:p>
                  </w:txbxContent>
                </v:textbox>
              </v:shape>
            </w:pict>
          </mc:Fallback>
        </mc:AlternateContent>
      </w:r>
    </w:p>
    <w:p w14:paraId="623F12F5" w14:textId="7439DC38" w:rsidR="00DF16C4" w:rsidRDefault="00DF16C4" w:rsidP="007946B4">
      <w:pPr>
        <w:tabs>
          <w:tab w:val="left" w:pos="4536"/>
        </w:tabs>
        <w:jc w:val="both"/>
        <w:rPr>
          <w:rFonts w:asciiTheme="minorHAnsi" w:hAnsiTheme="minorHAnsi" w:cstheme="minorHAnsi"/>
          <w:sz w:val="22"/>
          <w:szCs w:val="22"/>
        </w:rPr>
      </w:pPr>
    </w:p>
    <w:p w14:paraId="7AE4908D" w14:textId="4B1667F5" w:rsidR="00DF16C4" w:rsidRDefault="00DF16C4" w:rsidP="007946B4">
      <w:pPr>
        <w:tabs>
          <w:tab w:val="left" w:pos="4536"/>
        </w:tabs>
        <w:jc w:val="both"/>
        <w:rPr>
          <w:rFonts w:asciiTheme="minorHAnsi" w:hAnsiTheme="minorHAnsi" w:cstheme="minorHAnsi"/>
          <w:sz w:val="22"/>
          <w:szCs w:val="22"/>
        </w:rPr>
      </w:pPr>
    </w:p>
    <w:p w14:paraId="2F9C1D79" w14:textId="349A5382" w:rsidR="00DF16C4" w:rsidRDefault="00DF16C4" w:rsidP="007946B4">
      <w:pPr>
        <w:tabs>
          <w:tab w:val="left" w:pos="4536"/>
        </w:tabs>
        <w:jc w:val="both"/>
        <w:rPr>
          <w:rFonts w:asciiTheme="minorHAnsi" w:hAnsiTheme="minorHAnsi" w:cstheme="minorHAnsi"/>
          <w:sz w:val="22"/>
          <w:szCs w:val="22"/>
        </w:rPr>
      </w:pPr>
    </w:p>
    <w:p w14:paraId="50D06424" w14:textId="2246B2D4" w:rsidR="00DF16C4" w:rsidRDefault="00DF16C4" w:rsidP="007946B4">
      <w:pPr>
        <w:tabs>
          <w:tab w:val="left" w:pos="4536"/>
        </w:tabs>
        <w:jc w:val="both"/>
        <w:rPr>
          <w:rFonts w:asciiTheme="minorHAnsi" w:hAnsiTheme="minorHAnsi" w:cstheme="minorHAnsi"/>
          <w:sz w:val="22"/>
          <w:szCs w:val="22"/>
        </w:rPr>
      </w:pPr>
    </w:p>
    <w:sectPr w:rsidR="00DF16C4" w:rsidSect="003A258B">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7767F338"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1F66D88F"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V03.202</w:t>
    </w:r>
    <w:r w:rsidR="00C62A20">
      <w:rPr>
        <w:rFonts w:ascii="Calibri" w:eastAsia="Calibri" w:hAnsi="Calibri" w:cs="Calibri"/>
        <w:color w:val="384B8F"/>
        <w:lang w:eastAsia="en-US"/>
      </w:rPr>
      <w:t>3</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985FD0"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3CCE7941"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V03.202</w:t>
    </w:r>
    <w:r>
      <w:rPr>
        <w:rFonts w:ascii="Calibri" w:eastAsia="Calibri" w:hAnsi="Calibri" w:cs="Calibri"/>
        <w:color w:val="384B8F"/>
        <w:lang w:eastAsia="en-US"/>
      </w:rPr>
      <w:t>3</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29D33635" w:rsidR="00D1484D" w:rsidRPr="00885778" w:rsidRDefault="00885778" w:rsidP="00D1484D">
    <w:pPr>
      <w:jc w:val="right"/>
      <w:rPr>
        <w:rFonts w:ascii="Calibri" w:hAnsi="Calibri" w:cs="Calibri"/>
        <w:b/>
        <w:bCs/>
        <w:color w:val="384B8F"/>
        <w:sz w:val="48"/>
        <w:szCs w:val="48"/>
      </w:rPr>
    </w:pPr>
    <w:r w:rsidRPr="00885778">
      <w:rPr>
        <w:rFonts w:ascii="Calibri" w:hAnsi="Calibri" w:cs="Calibri"/>
        <w:b/>
        <w:bCs/>
        <w:color w:val="384B8F"/>
        <w:sz w:val="48"/>
        <w:szCs w:val="48"/>
      </w:rPr>
      <w:t>PROMOTIONS INTERNES 2023</w:t>
    </w:r>
  </w:p>
  <w:p w14:paraId="1CD927C2" w14:textId="487F7DB7" w:rsidR="00D1484D" w:rsidRPr="00885778" w:rsidRDefault="00885778" w:rsidP="00D1484D">
    <w:pPr>
      <w:jc w:val="right"/>
      <w:rPr>
        <w:rFonts w:ascii="Calibri" w:hAnsi="Calibri" w:cs="Calibri"/>
        <w:b/>
        <w:bCs/>
        <w:sz w:val="32"/>
        <w:szCs w:val="32"/>
      </w:rPr>
    </w:pPr>
    <w:r w:rsidRPr="00885778">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860120212">
    <w:abstractNumId w:val="1"/>
  </w:num>
  <w:num w:numId="2" w16cid:durableId="69993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qacPwv5v3ISN1Wf70TGZPFr05t0DfuPUGnbkmG8RStJn18nd7G3bNvisRuyUVvB7WVrBP5IgjUrUMSEKXrmng==" w:salt="twDxSEaPjPUN5NtsWziHHA=="/>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75A0"/>
    <w:rsid w:val="000B7967"/>
    <w:rsid w:val="0012396A"/>
    <w:rsid w:val="00205471"/>
    <w:rsid w:val="00232621"/>
    <w:rsid w:val="00233EAD"/>
    <w:rsid w:val="0024501F"/>
    <w:rsid w:val="002A4189"/>
    <w:rsid w:val="002B611A"/>
    <w:rsid w:val="003119DC"/>
    <w:rsid w:val="003236AA"/>
    <w:rsid w:val="003641E7"/>
    <w:rsid w:val="00373904"/>
    <w:rsid w:val="0039371C"/>
    <w:rsid w:val="003A258B"/>
    <w:rsid w:val="003B4142"/>
    <w:rsid w:val="00412783"/>
    <w:rsid w:val="00447EEB"/>
    <w:rsid w:val="004638CF"/>
    <w:rsid w:val="004674C8"/>
    <w:rsid w:val="00477C9A"/>
    <w:rsid w:val="004A6010"/>
    <w:rsid w:val="0053107A"/>
    <w:rsid w:val="00547D04"/>
    <w:rsid w:val="0062294E"/>
    <w:rsid w:val="0062365D"/>
    <w:rsid w:val="006D2039"/>
    <w:rsid w:val="00771CD4"/>
    <w:rsid w:val="007946B4"/>
    <w:rsid w:val="00804F80"/>
    <w:rsid w:val="00876E47"/>
    <w:rsid w:val="00885778"/>
    <w:rsid w:val="00893533"/>
    <w:rsid w:val="008F2C84"/>
    <w:rsid w:val="00985FD0"/>
    <w:rsid w:val="00A44768"/>
    <w:rsid w:val="00A44D3D"/>
    <w:rsid w:val="00A46D11"/>
    <w:rsid w:val="00C24652"/>
    <w:rsid w:val="00C406FF"/>
    <w:rsid w:val="00C62A20"/>
    <w:rsid w:val="00C67FE5"/>
    <w:rsid w:val="00CD29B8"/>
    <w:rsid w:val="00D1367B"/>
    <w:rsid w:val="00D1484D"/>
    <w:rsid w:val="00D22AD2"/>
    <w:rsid w:val="00D47E9B"/>
    <w:rsid w:val="00D56CFA"/>
    <w:rsid w:val="00D81366"/>
    <w:rsid w:val="00DF16C4"/>
    <w:rsid w:val="00E01773"/>
    <w:rsid w:val="00E114CC"/>
    <w:rsid w:val="00E41000"/>
    <w:rsid w:val="00E73E5B"/>
    <w:rsid w:val="00E77BAE"/>
    <w:rsid w:val="00E94F84"/>
    <w:rsid w:val="00EA2487"/>
    <w:rsid w:val="00EB70DB"/>
    <w:rsid w:val="00ED2434"/>
    <w:rsid w:val="00F27910"/>
    <w:rsid w:val="00F4001B"/>
    <w:rsid w:val="00F51008"/>
    <w:rsid w:val="00F63E6C"/>
    <w:rsid w:val="00F7602F"/>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 w:type="character" w:styleId="Mentionnonrsolue">
    <w:name w:val="Unresolved Mention"/>
    <w:basedOn w:val="Policepardfaut"/>
    <w:uiPriority w:val="99"/>
    <w:semiHidden/>
    <w:unhideWhenUsed/>
    <w:rsid w:val="00A4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france.gouv.fr/affichTexte.do?cidTexte=JORFTEXT000000334475&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522423&amp;idArticle=LEGIARTI000006847444&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522423&amp;idArticle=LEGIARTI000006847403&amp;dateTexte=&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2074-07D2-4AE6-A81B-5989E03A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19</cp:revision>
  <cp:lastPrinted>2023-02-24T09:30:00Z</cp:lastPrinted>
  <dcterms:created xsi:type="dcterms:W3CDTF">2023-03-06T08:09:00Z</dcterms:created>
  <dcterms:modified xsi:type="dcterms:W3CDTF">2023-03-10T09:04:00Z</dcterms:modified>
</cp:coreProperties>
</file>